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6FF3A" w14:textId="5CD8B586" w:rsidR="00E23DF5" w:rsidRDefault="00E23DF5" w:rsidP="00E23DF5">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4A0E58">
        <w:rPr>
          <w:rFonts w:cs="Arial"/>
          <w:b/>
          <w:sz w:val="22"/>
          <w:lang w:val="en-US"/>
        </w:rPr>
        <w:t>12</w:t>
      </w:r>
      <w:r w:rsidR="00370BFE">
        <w:rPr>
          <w:rFonts w:cs="Arial"/>
          <w:b/>
          <w:sz w:val="22"/>
          <w:lang w:val="en-US"/>
        </w:rPr>
        <w:t>3</w:t>
      </w:r>
      <w:r>
        <w:rPr>
          <w:rFonts w:cs="Arial"/>
          <w:b/>
          <w:i/>
          <w:sz w:val="22"/>
          <w:lang w:val="en-US"/>
        </w:rPr>
        <w:tab/>
      </w:r>
      <w:r w:rsidR="00A207B4" w:rsidRPr="00A207B4">
        <w:rPr>
          <w:rFonts w:cs="Arial"/>
          <w:b/>
          <w:i/>
          <w:sz w:val="22"/>
          <w:lang w:val="en-US" w:eastAsia="zh-CN"/>
        </w:rPr>
        <w:t>R2-2307092</w:t>
      </w:r>
    </w:p>
    <w:p w14:paraId="3F17F203" w14:textId="704F1C98" w:rsidR="00FB3C9D" w:rsidRDefault="00995B16">
      <w:pPr>
        <w:tabs>
          <w:tab w:val="left" w:pos="1701"/>
          <w:tab w:val="right" w:pos="9639"/>
        </w:tabs>
        <w:spacing w:after="0"/>
        <w:rPr>
          <w:rFonts w:cs="Arial"/>
          <w:b/>
          <w:color w:val="000000"/>
          <w:sz w:val="24"/>
        </w:rPr>
      </w:pPr>
      <w:r w:rsidRPr="00995B16">
        <w:rPr>
          <w:rFonts w:cs="Arial"/>
          <w:b/>
          <w:sz w:val="22"/>
          <w:lang w:val="en-US"/>
        </w:rPr>
        <w:t>Toulouse, F</w:t>
      </w:r>
      <w:r>
        <w:rPr>
          <w:rFonts w:cs="Arial"/>
          <w:b/>
          <w:sz w:val="22"/>
          <w:lang w:val="en-US"/>
        </w:rPr>
        <w:t>rance</w:t>
      </w:r>
      <w:r w:rsidR="00A1374E" w:rsidRPr="00A1374E">
        <w:rPr>
          <w:rFonts w:cs="Arial"/>
          <w:b/>
          <w:sz w:val="22"/>
          <w:lang w:val="en-US"/>
        </w:rPr>
        <w:t xml:space="preserve">, </w:t>
      </w:r>
      <w:r>
        <w:rPr>
          <w:rFonts w:cs="Arial"/>
          <w:b/>
          <w:sz w:val="22"/>
          <w:lang w:val="en-US"/>
        </w:rPr>
        <w:t>August</w:t>
      </w:r>
      <w:r w:rsidR="00A1374E" w:rsidRPr="00A1374E" w:rsidDel="00A1374E">
        <w:rPr>
          <w:rFonts w:cs="Arial"/>
          <w:b/>
          <w:sz w:val="22"/>
          <w:lang w:val="en-US"/>
        </w:rPr>
        <w:t xml:space="preserve"> </w:t>
      </w:r>
      <w:r w:rsidR="00E23DF5" w:rsidRPr="00520400">
        <w:rPr>
          <w:rFonts w:cs="Arial"/>
          <w:b/>
          <w:sz w:val="22"/>
          <w:lang w:val="en-US"/>
        </w:rPr>
        <w:t>202</w:t>
      </w:r>
      <w:bookmarkEnd w:id="0"/>
      <w:bookmarkEnd w:id="1"/>
      <w:bookmarkEnd w:id="2"/>
      <w:bookmarkEnd w:id="3"/>
      <w:r w:rsidR="00A1374E">
        <w:rPr>
          <w:rFonts w:cs="Arial"/>
          <w:b/>
          <w:sz w:val="22"/>
          <w:lang w:val="en-US"/>
        </w:rPr>
        <w:t>3</w:t>
      </w:r>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42A6441F" w:rsidR="00FB3C9D" w:rsidRDefault="003D1DDD">
      <w:pPr>
        <w:pStyle w:val="3GPPHeader"/>
        <w:rPr>
          <w:sz w:val="22"/>
        </w:rPr>
      </w:pPr>
      <w:r>
        <w:rPr>
          <w:sz w:val="22"/>
        </w:rPr>
        <w:t>Agenda Item:</w:t>
      </w:r>
      <w:r>
        <w:rPr>
          <w:sz w:val="22"/>
        </w:rPr>
        <w:tab/>
      </w:r>
      <w:r w:rsidR="00A207B4">
        <w:rPr>
          <w:sz w:val="22"/>
        </w:rPr>
        <w:t>7.15.6</w:t>
      </w:r>
    </w:p>
    <w:p w14:paraId="7B1B0462" w14:textId="3D61E9B4" w:rsidR="00FB3C9D" w:rsidRDefault="003D1DDD">
      <w:pPr>
        <w:pStyle w:val="3GPPHeader"/>
        <w:rPr>
          <w:sz w:val="22"/>
        </w:rPr>
      </w:pPr>
      <w:r>
        <w:rPr>
          <w:sz w:val="22"/>
        </w:rPr>
        <w:t>Source:</w:t>
      </w:r>
      <w:r>
        <w:rPr>
          <w:sz w:val="22"/>
        </w:rPr>
        <w:tab/>
      </w:r>
      <w:r>
        <w:rPr>
          <w:rFonts w:hint="eastAsia"/>
          <w:sz w:val="22"/>
        </w:rPr>
        <w:t>OPPO</w:t>
      </w:r>
      <w:r w:rsidR="000F1E79">
        <w:rPr>
          <w:sz w:val="22"/>
        </w:rPr>
        <w:t xml:space="preserve">, </w:t>
      </w:r>
      <w:r w:rsidR="00142475">
        <w:rPr>
          <w:rFonts w:hint="eastAsia"/>
          <w:sz w:val="22"/>
        </w:rPr>
        <w:t>Nokia</w:t>
      </w:r>
      <w:r w:rsidR="00142475">
        <w:rPr>
          <w:sz w:val="22"/>
        </w:rPr>
        <w:t xml:space="preserve">, </w:t>
      </w:r>
      <w:r w:rsidR="00D7149E">
        <w:rPr>
          <w:sz w:val="22"/>
          <w:lang w:val="en-US"/>
        </w:rPr>
        <w:t xml:space="preserve">Nokia Shanghai Bell, </w:t>
      </w:r>
      <w:r w:rsidR="00142475">
        <w:rPr>
          <w:sz w:val="22"/>
        </w:rPr>
        <w:t>vivo, NEC</w:t>
      </w:r>
      <w:r w:rsidR="00C86FB0">
        <w:rPr>
          <w:sz w:val="22"/>
        </w:rPr>
        <w:t>, MediaTek</w:t>
      </w:r>
      <w:r w:rsidR="00860331">
        <w:rPr>
          <w:sz w:val="22"/>
        </w:rPr>
        <w:t xml:space="preserve"> Inc.</w:t>
      </w:r>
      <w:r w:rsidR="00F36E4B">
        <w:rPr>
          <w:sz w:val="22"/>
        </w:rPr>
        <w:t>, Samsung</w:t>
      </w:r>
    </w:p>
    <w:p w14:paraId="5684291F" w14:textId="40144C43" w:rsidR="00FB3C9D" w:rsidRDefault="003D1DDD">
      <w:pPr>
        <w:pStyle w:val="3GPPHeader"/>
        <w:rPr>
          <w:sz w:val="22"/>
        </w:rPr>
      </w:pPr>
      <w:r>
        <w:rPr>
          <w:sz w:val="22"/>
        </w:rPr>
        <w:t>Title:</w:t>
      </w:r>
      <w:r>
        <w:rPr>
          <w:sz w:val="22"/>
        </w:rPr>
        <w:tab/>
        <w:t xml:space="preserve">Discussion on </w:t>
      </w:r>
      <w:r w:rsidR="000F1E79">
        <w:rPr>
          <w:sz w:val="22"/>
        </w:rPr>
        <w:t>’</w:t>
      </w:r>
      <w:r w:rsidR="00995B16">
        <w:rPr>
          <w:sz w:val="22"/>
        </w:rPr>
        <w:t>TX Profile</w:t>
      </w:r>
      <w:r w:rsidR="000F1E79">
        <w:rPr>
          <w:sz w:val="22"/>
        </w:rPr>
        <w:t>’</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327D1951" w14:textId="6ADC4A1D" w:rsidR="00FB3C9D" w:rsidRDefault="00A95794" w:rsidP="00E54656">
      <w:pPr>
        <w:rPr>
          <w:lang w:eastAsia="ko-KR"/>
        </w:rPr>
      </w:pPr>
      <w:r>
        <w:rPr>
          <w:lang w:eastAsia="ko-KR"/>
        </w:rPr>
        <w:t>In</w:t>
      </w:r>
      <w:r w:rsidR="006B37FB">
        <w:rPr>
          <w:lang w:eastAsia="ko-KR"/>
        </w:rPr>
        <w:t xml:space="preserve"> </w:t>
      </w:r>
      <w:r>
        <w:rPr>
          <w:lang w:eastAsia="ko-KR"/>
        </w:rPr>
        <w:t xml:space="preserve">the last RAN2 meeting, </w:t>
      </w:r>
      <w:r w:rsidR="000F1E79">
        <w:rPr>
          <w:lang w:eastAsia="ko-KR"/>
        </w:rPr>
        <w:t xml:space="preserve">one left issue is on </w:t>
      </w:r>
      <w:r w:rsidR="00995B16">
        <w:rPr>
          <w:lang w:eastAsia="ko-KR"/>
        </w:rPr>
        <w:t>Tx Profile</w:t>
      </w:r>
      <w:r w:rsidR="003D1DDD">
        <w:rPr>
          <w:lang w:eastAsia="ko-KR"/>
        </w:rPr>
        <w:t xml:space="preserve">. </w:t>
      </w:r>
      <w:bookmarkEnd w:id="5"/>
    </w:p>
    <w:p w14:paraId="3D4D2464" w14:textId="77777777" w:rsidR="00D97729" w:rsidRPr="005F1AFD" w:rsidRDefault="00D97729" w:rsidP="00D97729">
      <w:pPr>
        <w:pBdr>
          <w:top w:val="single" w:sz="4" w:space="1" w:color="auto"/>
          <w:left w:val="single" w:sz="4" w:space="4" w:color="auto"/>
          <w:bottom w:val="single" w:sz="4" w:space="1" w:color="auto"/>
          <w:right w:val="single" w:sz="4" w:space="4" w:color="auto"/>
        </w:pBdr>
        <w:tabs>
          <w:tab w:val="left" w:pos="1622"/>
        </w:tabs>
        <w:ind w:left="363" w:hanging="363"/>
      </w:pPr>
      <w:r w:rsidRPr="005F1AFD">
        <w:t>Agreement</w:t>
      </w:r>
      <w:r>
        <w:t xml:space="preserve">s on </w:t>
      </w:r>
      <w:r w:rsidRPr="002B3F88">
        <w:t>backward compatibility issue in SL CA (for GC/BC)</w:t>
      </w:r>
    </w:p>
    <w:p w14:paraId="5379EC6A" w14:textId="77777777" w:rsidR="00D97729" w:rsidRDefault="00D97729" w:rsidP="00D97729">
      <w:pPr>
        <w:pBdr>
          <w:top w:val="single" w:sz="4" w:space="1" w:color="auto"/>
          <w:left w:val="single" w:sz="4" w:space="4" w:color="auto"/>
          <w:bottom w:val="single" w:sz="4" w:space="1" w:color="auto"/>
          <w:right w:val="single" w:sz="4" w:space="4" w:color="auto"/>
        </w:pBdr>
        <w:tabs>
          <w:tab w:val="left" w:pos="1622"/>
        </w:tabs>
        <w:ind w:left="363" w:hanging="363"/>
      </w:pPr>
      <w:r>
        <w:t xml:space="preserve">1: </w:t>
      </w:r>
      <w:r>
        <w:tab/>
      </w:r>
      <w:r w:rsidRPr="00825DEC">
        <w:t xml:space="preserve">Consider </w:t>
      </w:r>
      <w:r>
        <w:t xml:space="preserve">a </w:t>
      </w:r>
      <w:r w:rsidRPr="00825DEC">
        <w:t>case that a V2X service which needs to be mapped into multiple carriers while there is at least one legacy UE to receive this V2X service. RAN2 further discuss whether TX profile approach can be supported.</w:t>
      </w:r>
      <w:r>
        <w:t xml:space="preserve"> </w:t>
      </w:r>
    </w:p>
    <w:p w14:paraId="0440FABE" w14:textId="4583754A" w:rsidR="00FB3C9D" w:rsidRDefault="003D1DDD">
      <w:pPr>
        <w:pStyle w:val="1"/>
      </w:pPr>
      <w:r>
        <w:t>Discussion</w:t>
      </w:r>
    </w:p>
    <w:p w14:paraId="0179FE0B" w14:textId="0E677DAC" w:rsidR="00D97729" w:rsidRDefault="00D97729" w:rsidP="00D97729">
      <w:r>
        <w:rPr>
          <w:rFonts w:hint="eastAsia"/>
        </w:rPr>
        <w:t>In</w:t>
      </w:r>
      <w:r>
        <w:t xml:space="preserve"> last meeting, the “TX profile” issue has been discussed</w:t>
      </w:r>
    </w:p>
    <w:p w14:paraId="6F6AC6DC" w14:textId="77777777" w:rsidR="00D97729" w:rsidRPr="00D97729" w:rsidRDefault="00D97729" w:rsidP="00D97729">
      <w:pPr>
        <w:pStyle w:val="Doc-title"/>
        <w:pBdr>
          <w:top w:val="single" w:sz="4" w:space="1" w:color="auto"/>
          <w:left w:val="single" w:sz="4" w:space="1" w:color="auto"/>
          <w:bottom w:val="single" w:sz="4" w:space="1" w:color="auto"/>
          <w:right w:val="single" w:sz="4" w:space="1" w:color="auto"/>
        </w:pBdr>
        <w:ind w:left="0" w:firstLine="0"/>
        <w:rPr>
          <w:b/>
          <w:sz w:val="22"/>
          <w:szCs w:val="22"/>
        </w:rPr>
      </w:pPr>
      <w:r w:rsidRPr="00D97729">
        <w:rPr>
          <w:b/>
          <w:sz w:val="22"/>
          <w:szCs w:val="22"/>
        </w:rPr>
        <w:t>FFS on backward compatibility issue in SL CA (for GC/BC)</w:t>
      </w:r>
    </w:p>
    <w:p w14:paraId="6E5BEAC4" w14:textId="34D2E7D2" w:rsidR="00D97729" w:rsidRPr="00D97729" w:rsidRDefault="00D97729" w:rsidP="00D97729">
      <w:pPr>
        <w:pStyle w:val="Doc-text2"/>
        <w:pBdr>
          <w:top w:val="single" w:sz="4" w:space="1" w:color="auto"/>
          <w:left w:val="single" w:sz="4" w:space="1" w:color="auto"/>
          <w:bottom w:val="single" w:sz="4" w:space="1" w:color="auto"/>
          <w:right w:val="single" w:sz="4" w:space="1" w:color="auto"/>
          <w:between w:val="none" w:sz="0" w:space="0" w:color="auto"/>
        </w:pBdr>
        <w:ind w:left="0" w:firstLine="0"/>
        <w:rPr>
          <w:sz w:val="22"/>
          <w:szCs w:val="22"/>
        </w:rPr>
      </w:pPr>
      <w:r w:rsidRPr="00D97729">
        <w:rPr>
          <w:sz w:val="22"/>
          <w:szCs w:val="22"/>
        </w:rPr>
        <w:t>- No issue with service-to-carrier mapping (P3:4668)</w:t>
      </w:r>
    </w:p>
    <w:p w14:paraId="574A635A" w14:textId="554E7EBD" w:rsidR="00D97729" w:rsidRPr="00D97729" w:rsidRDefault="00D97729" w:rsidP="00D97729">
      <w:pPr>
        <w:pStyle w:val="Doc-text2"/>
        <w:pBdr>
          <w:top w:val="single" w:sz="4" w:space="1" w:color="auto"/>
          <w:left w:val="single" w:sz="4" w:space="1" w:color="auto"/>
          <w:bottom w:val="single" w:sz="4" w:space="1" w:color="auto"/>
          <w:right w:val="single" w:sz="4" w:space="1" w:color="auto"/>
          <w:between w:val="none" w:sz="0" w:space="0" w:color="auto"/>
        </w:pBdr>
        <w:ind w:left="0" w:firstLine="0"/>
        <w:rPr>
          <w:sz w:val="22"/>
          <w:szCs w:val="22"/>
        </w:rPr>
      </w:pPr>
      <w:r w:rsidRPr="00D97729">
        <w:rPr>
          <w:sz w:val="22"/>
          <w:szCs w:val="22"/>
        </w:rPr>
        <w:t>- Need TX profile to handle the compatibility issue (P2:5093)</w:t>
      </w:r>
    </w:p>
    <w:p w14:paraId="5BD2612A" w14:textId="77777777" w:rsidR="00D97729" w:rsidRPr="00D97729" w:rsidRDefault="00D97729" w:rsidP="00D97729">
      <w:pPr>
        <w:pStyle w:val="Doc-title"/>
        <w:pBdr>
          <w:top w:val="single" w:sz="4" w:space="1" w:color="auto"/>
          <w:left w:val="single" w:sz="4" w:space="1" w:color="auto"/>
          <w:bottom w:val="single" w:sz="4" w:space="1" w:color="auto"/>
          <w:right w:val="single" w:sz="4" w:space="1" w:color="auto"/>
        </w:pBdr>
        <w:ind w:left="0" w:firstLine="0"/>
        <w:rPr>
          <w:sz w:val="22"/>
          <w:szCs w:val="22"/>
        </w:rPr>
      </w:pPr>
    </w:p>
    <w:p w14:paraId="30E6708F" w14:textId="77777777" w:rsidR="00D97729" w:rsidRPr="00D97729" w:rsidRDefault="00D97729" w:rsidP="00D97729">
      <w:pPr>
        <w:pStyle w:val="Doc-text2"/>
        <w:pBdr>
          <w:top w:val="single" w:sz="4" w:space="1" w:color="auto"/>
          <w:left w:val="single" w:sz="4" w:space="1" w:color="auto"/>
          <w:bottom w:val="single" w:sz="4" w:space="1" w:color="auto"/>
          <w:right w:val="single" w:sz="4" w:space="1" w:color="auto"/>
        </w:pBdr>
        <w:ind w:left="0" w:firstLine="0"/>
        <w:rPr>
          <w:sz w:val="22"/>
          <w:szCs w:val="22"/>
        </w:rPr>
      </w:pPr>
      <w:r w:rsidRPr="00D97729">
        <w:rPr>
          <w:sz w:val="22"/>
          <w:szCs w:val="22"/>
        </w:rPr>
        <w:t xml:space="preserve">[NEC]: If we rely on service-to-carrier mapping and the service is supported by SL CA, Rel-16/17 UEs cannot have that service. [Apple]: In LTE time, multiple carriers were already supported before V2X CA was introduced. In NR, only single carrier was considered in Rel-16/17. [Vivo, Huawei]: No issue for backward compatibility and no need for TX profile. [Ericsson, ZTE, Xiaomi]: TX profile is already allowed option to solve the backward compatibility issue. [Apple]: Legacy UE and Rel-18 UE can participate in Rel-18 service that requires SL duplicated transmission. [OPPO]: For SL CA w/o duplicated transmission, it seems clear we can rely on service-to-carrier mapping. With duplicated transmission, it’s not clear how TX profile can make differentiation compared to service-to-carrier mapping. [Nokia]: Service-to-carrier mapping seems baseline. And propose to have further discussion whether we need TX profile in addition. [Apple]: Want to have offline discussion to explain their arguments. </w:t>
      </w:r>
    </w:p>
    <w:p w14:paraId="49F1BFE7" w14:textId="6F53045E" w:rsidR="00D97729" w:rsidRDefault="00D97729" w:rsidP="00D97729">
      <w:pPr>
        <w:spacing w:beforeLines="50" w:before="120"/>
      </w:pPr>
      <w:r>
        <w:rPr>
          <w:rFonts w:hint="eastAsia"/>
        </w:rPr>
        <w:t>T</w:t>
      </w:r>
      <w:r>
        <w:t xml:space="preserve">he proposed “TX Profile” </w:t>
      </w:r>
      <w:r w:rsidR="00B257DD">
        <w:t>aims at supporting</w:t>
      </w:r>
      <w:r w:rsidRPr="00D97729">
        <w:t xml:space="preserve"> a </w:t>
      </w:r>
      <w:r w:rsidR="00F22165">
        <w:t xml:space="preserve">legacy </w:t>
      </w:r>
      <w:r w:rsidRPr="00D97729">
        <w:t>service</w:t>
      </w:r>
      <w:r w:rsidR="008176DB" w:rsidRPr="008176DB">
        <w:t xml:space="preserve"> </w:t>
      </w:r>
      <w:r w:rsidR="008176DB">
        <w:t>for</w:t>
      </w:r>
      <w:r w:rsidR="008176DB" w:rsidRPr="00D97729">
        <w:t xml:space="preserve"> </w:t>
      </w:r>
      <w:r w:rsidR="008176DB">
        <w:t xml:space="preserve">the </w:t>
      </w:r>
      <w:r w:rsidR="008176DB" w:rsidRPr="00D97729">
        <w:t>R</w:t>
      </w:r>
      <w:r w:rsidR="008176DB">
        <w:t>el-</w:t>
      </w:r>
      <w:r w:rsidR="008176DB" w:rsidRPr="00D97729">
        <w:t>18 RX UEs with the extended coverage</w:t>
      </w:r>
      <w:r w:rsidR="008176DB">
        <w:t>.</w:t>
      </w:r>
      <w:r w:rsidRPr="00D97729">
        <w:t xml:space="preserve"> </w:t>
      </w:r>
      <w:r w:rsidR="008176DB">
        <w:t xml:space="preserve">In Rel-16/17, those services are </w:t>
      </w:r>
      <w:r w:rsidRPr="00D97729">
        <w:t xml:space="preserve">well </w:t>
      </w:r>
      <w:r w:rsidR="00B257DD">
        <w:t>received by the Rel-16/17 UEs</w:t>
      </w:r>
      <w:r w:rsidR="00B257DD" w:rsidRPr="00D97729">
        <w:t xml:space="preserve"> </w:t>
      </w:r>
      <w:r w:rsidR="00B257DD">
        <w:t>on</w:t>
      </w:r>
      <w:r w:rsidRPr="00D97729">
        <w:t xml:space="preserve"> </w:t>
      </w:r>
      <w:r w:rsidR="00805ACF">
        <w:t xml:space="preserve">a </w:t>
      </w:r>
      <w:r w:rsidRPr="00D97729">
        <w:t>single carrier,</w:t>
      </w:r>
      <w:r w:rsidR="008176DB">
        <w:t xml:space="preserve"> i.e., with no carrier aggregation</w:t>
      </w:r>
      <w:r w:rsidRPr="00D97729">
        <w:t xml:space="preserve">. </w:t>
      </w:r>
      <w:r w:rsidR="008176DB">
        <w:t>However</w:t>
      </w:r>
      <w:r w:rsidRPr="00D97729">
        <w:t xml:space="preserve">, </w:t>
      </w:r>
      <w:r w:rsidR="008176DB">
        <w:t xml:space="preserve">in order to extend the coverage of the legacy services for Rel-18 UEs, it is suggested that PDCP </w:t>
      </w:r>
      <w:r w:rsidRPr="00D97729">
        <w:t>duplication should be used</w:t>
      </w:r>
      <w:r w:rsidR="00C71470">
        <w:t xml:space="preserve"> and TX profile indicates PDCP duplication per service</w:t>
      </w:r>
      <w:r w:rsidR="008176DB">
        <w:t>. It is also argued that</w:t>
      </w:r>
      <w:r w:rsidRPr="00D97729">
        <w:t xml:space="preserve"> </w:t>
      </w:r>
      <w:r w:rsidR="00C71470">
        <w:t xml:space="preserve">PDCP duplication should be used for that service </w:t>
      </w:r>
      <w:r w:rsidR="00B257DD">
        <w:t xml:space="preserve">even </w:t>
      </w:r>
      <w:r w:rsidR="008176DB">
        <w:t xml:space="preserve">if </w:t>
      </w:r>
      <w:r w:rsidRPr="00D97729">
        <w:t xml:space="preserve">there is one </w:t>
      </w:r>
      <w:r w:rsidR="00B257DD">
        <w:t>Rel-16/17</w:t>
      </w:r>
      <w:r w:rsidRPr="00D97729">
        <w:t xml:space="preserve"> RX UE as a receiving UE </w:t>
      </w:r>
      <w:r w:rsidR="00C71470">
        <w:t>together with Rel-18 UEs</w:t>
      </w:r>
      <w:r w:rsidR="008176DB">
        <w:t>.</w:t>
      </w:r>
      <w:r>
        <w:t xml:space="preserve"> </w:t>
      </w:r>
    </w:p>
    <w:p w14:paraId="104BBD02" w14:textId="1B205BB1" w:rsidR="00D97729" w:rsidRPr="00D97729" w:rsidRDefault="00D97729" w:rsidP="00D97729">
      <w:pPr>
        <w:pStyle w:val="Observation"/>
        <w:ind w:left="1701" w:hanging="1701"/>
      </w:pPr>
      <w:bookmarkStart w:id="6" w:name="_Toc137049735"/>
      <w:bookmarkStart w:id="7" w:name="_Toc137557488"/>
      <w:bookmarkStart w:id="8" w:name="_Toc142312454"/>
      <w:r>
        <w:rPr>
          <w:rFonts w:hint="eastAsia"/>
        </w:rPr>
        <w:t>T</w:t>
      </w:r>
      <w:r>
        <w:t xml:space="preserve">he proposed “TX profile” is to </w:t>
      </w:r>
      <w:r w:rsidRPr="00D97729">
        <w:t xml:space="preserve">support a </w:t>
      </w:r>
      <w:r w:rsidR="00F22165">
        <w:t xml:space="preserve">legacy </w:t>
      </w:r>
      <w:r w:rsidRPr="00D97729">
        <w:t>service</w:t>
      </w:r>
      <w:r w:rsidR="00C71470">
        <w:t xml:space="preserve"> for Rel-18 RX UEs with extended coverage while it is sufficient to use </w:t>
      </w:r>
      <w:r w:rsidR="00805ACF">
        <w:t xml:space="preserve">a </w:t>
      </w:r>
      <w:r w:rsidR="00C71470">
        <w:t>single carrier for Rel-16/17 RX UEs.</w:t>
      </w:r>
      <w:bookmarkEnd w:id="6"/>
      <w:bookmarkEnd w:id="7"/>
      <w:bookmarkEnd w:id="8"/>
      <w:r>
        <w:t xml:space="preserve"> </w:t>
      </w:r>
    </w:p>
    <w:p w14:paraId="6A60E255" w14:textId="33181756" w:rsidR="00FC1AAF" w:rsidRDefault="00FC1AAF" w:rsidP="00EC69DF"/>
    <w:p w14:paraId="5691EFBC" w14:textId="141F1A4B" w:rsidR="00B257DD" w:rsidRDefault="00C763EB" w:rsidP="0098083C">
      <w:r>
        <w:t>As mentioned, t</w:t>
      </w:r>
      <w:r w:rsidR="00EC69DF">
        <w:t xml:space="preserve">he </w:t>
      </w:r>
      <w:r>
        <w:t xml:space="preserve">original intention of the </w:t>
      </w:r>
      <w:r w:rsidR="00FC1AAF">
        <w:t xml:space="preserve">proposed </w:t>
      </w:r>
      <w:r w:rsidR="00EC69DF">
        <w:t xml:space="preserve">“Tx profile” </w:t>
      </w:r>
      <w:r>
        <w:t>is</w:t>
      </w:r>
      <w:r w:rsidR="00EC69DF">
        <w:t xml:space="preserve"> to</w:t>
      </w:r>
      <w:r w:rsidR="00FC1AAF">
        <w:t xml:space="preserve"> </w:t>
      </w:r>
      <w:r>
        <w:t xml:space="preserve">enable Rel-18 RX UEs </w:t>
      </w:r>
      <w:r w:rsidR="00B257DD">
        <w:t xml:space="preserve">to </w:t>
      </w:r>
      <w:r>
        <w:t xml:space="preserve">receive the Rel-16/17 services using PDCP duplication for coverage </w:t>
      </w:r>
      <w:proofErr w:type="spellStart"/>
      <w:r>
        <w:t>extenstion</w:t>
      </w:r>
      <w:proofErr w:type="spellEnd"/>
      <w:r>
        <w:t xml:space="preserve">. Since the Rel-16/17 UEs function without any </w:t>
      </w:r>
      <w:r>
        <w:lastRenderedPageBreak/>
        <w:t xml:space="preserve">performance issue without PDCP duplication, this cannot be considered a backward compatibility issue. When PDCP duplication is not used, there is a possibility that Rel-18 RX UEs </w:t>
      </w:r>
      <w:r w:rsidR="00383E50">
        <w:t xml:space="preserve">located at extended coverage </w:t>
      </w:r>
      <w:r>
        <w:t xml:space="preserve">may not </w:t>
      </w:r>
      <w:r w:rsidR="00383E50">
        <w:t xml:space="preserve">be able to </w:t>
      </w:r>
      <w:r>
        <w:t>receive</w:t>
      </w:r>
      <w:r w:rsidR="00B257DD">
        <w:t xml:space="preserve"> </w:t>
      </w:r>
      <w:r>
        <w:t xml:space="preserve">the Rel-16/17 </w:t>
      </w:r>
      <w:r w:rsidR="00B257DD">
        <w:t>services</w:t>
      </w:r>
      <w:r>
        <w:t>.</w:t>
      </w:r>
      <w:r w:rsidR="008D20F1">
        <w:t xml:space="preserve"> </w:t>
      </w:r>
      <w:r w:rsidR="008D20F1">
        <w:rPr>
          <w:rFonts w:hint="eastAsia"/>
        </w:rPr>
        <w:t>Howeve</w:t>
      </w:r>
      <w:r w:rsidR="008D20F1">
        <w:t xml:space="preserve">r, this is not a Rel-18 UE specific issue, as the same issue holds for legacy Rel-16/17 UEs if they are located at the extended coverage for the reception of Rel-16/17 services. </w:t>
      </w:r>
      <w:r>
        <w:t xml:space="preserve">Therefore, the issue is essentially about improving the performance of Rel-18 UEs, and thus, it can be regarded as an optimization. </w:t>
      </w:r>
      <w:r w:rsidR="0098083C">
        <w:t xml:space="preserve">Some may argue that the proposed TX profile for PDCP duplication </w:t>
      </w:r>
      <w:r w:rsidR="00B257DD">
        <w:t>is</w:t>
      </w:r>
      <w:r w:rsidR="0098083C">
        <w:t xml:space="preserve"> similar to the TX profile indicating DRX. However, these two have completely different intentions. In the case of DRX TX profile, it aims to prevent Rel-18 UEs from using new feature</w:t>
      </w:r>
      <w:r w:rsidR="00805ACF">
        <w:t>s</w:t>
      </w:r>
      <w:r w:rsidR="0098083C">
        <w:t>, i.e., DRX, that may cause issue</w:t>
      </w:r>
      <w:r w:rsidR="00805ACF">
        <w:t>s</w:t>
      </w:r>
      <w:r w:rsidR="0098083C">
        <w:t xml:space="preserve"> with the Rel-16/17 UEs</w:t>
      </w:r>
      <w:r w:rsidR="00B257DD">
        <w:t>, i.e., backward compatibility</w:t>
      </w:r>
      <w:r w:rsidR="0098083C">
        <w:t>. On the other hand, PDCP duplication is intended to enforce the use of new feature</w:t>
      </w:r>
      <w:r w:rsidR="00805ACF">
        <w:t>s</w:t>
      </w:r>
      <w:r w:rsidR="0098083C">
        <w:t xml:space="preserve"> due to the expected performance degradation if </w:t>
      </w:r>
      <w:r w:rsidR="00805ACF">
        <w:rPr>
          <w:rFonts w:hint="eastAsia"/>
        </w:rPr>
        <w:t>the</w:t>
      </w:r>
      <w:r w:rsidR="00805ACF">
        <w:t xml:space="preserve"> </w:t>
      </w:r>
      <w:r w:rsidR="0098083C">
        <w:t>new feature, i.e., PDCP duplication, is not utilized.</w:t>
      </w:r>
      <w:r w:rsidR="00EC69DF">
        <w:t xml:space="preserve"> </w:t>
      </w:r>
    </w:p>
    <w:p w14:paraId="7A405A5F" w14:textId="42A1BF7A" w:rsidR="003C0BD6" w:rsidRDefault="003C0BD6" w:rsidP="00B257DD">
      <w:pPr>
        <w:pStyle w:val="Observation"/>
        <w:ind w:left="1701" w:hanging="1701"/>
      </w:pPr>
      <w:bookmarkStart w:id="9" w:name="_Toc142312455"/>
      <w:r>
        <w:t>In Rel-18, w</w:t>
      </w:r>
      <w:r w:rsidR="00B257DD">
        <w:t>hen PDCP duplication is not used for Rel-16/17 services, there is no backward compatibility issue for Rel-16/17 UEs</w:t>
      </w:r>
      <w:r>
        <w:t>.</w:t>
      </w:r>
      <w:bookmarkEnd w:id="9"/>
    </w:p>
    <w:p w14:paraId="4EB919E2" w14:textId="18BFE7B1" w:rsidR="00B257DD" w:rsidRPr="00D97729" w:rsidRDefault="003C0BD6" w:rsidP="00B257DD">
      <w:pPr>
        <w:pStyle w:val="Observation"/>
        <w:ind w:left="1701" w:hanging="1701"/>
      </w:pPr>
      <w:bookmarkStart w:id="10" w:name="_Toc142312456"/>
      <w:r>
        <w:t xml:space="preserve">In Rel-18, when PDCP duplication is not used for Rel-16/17 services, </w:t>
      </w:r>
      <w:r w:rsidR="00805ACF">
        <w:t xml:space="preserve">the </w:t>
      </w:r>
      <w:r w:rsidR="008D20F1">
        <w:t xml:space="preserve">same performance issue is faced by </w:t>
      </w:r>
      <w:r w:rsidR="00B257DD">
        <w:t xml:space="preserve">Rel-18 UEs </w:t>
      </w:r>
      <w:r w:rsidR="008D20F1">
        <w:t xml:space="preserve">as to legacy Rel-16/17 UEs </w:t>
      </w:r>
      <w:r w:rsidR="00B257DD">
        <w:t xml:space="preserve">if </w:t>
      </w:r>
      <w:r>
        <w:t xml:space="preserve">the </w:t>
      </w:r>
      <w:r w:rsidR="00B257DD">
        <w:t xml:space="preserve">extended coverage is required for the Rel-16/17 services. </w:t>
      </w:r>
      <w:r>
        <w:t>If the coverage is not expected to be increased</w:t>
      </w:r>
      <w:r w:rsidR="00383E50">
        <w:t xml:space="preserve"> for Rel-16/17 services</w:t>
      </w:r>
      <w:r>
        <w:t>, there should be no performance issue even for Rel-18 UEs.</w:t>
      </w:r>
      <w:bookmarkEnd w:id="10"/>
      <w:r>
        <w:t xml:space="preserve"> </w:t>
      </w:r>
    </w:p>
    <w:p w14:paraId="0796C9D1" w14:textId="77777777" w:rsidR="005901A3" w:rsidRDefault="005901A3" w:rsidP="0098083C"/>
    <w:p w14:paraId="0E118D7A" w14:textId="4AA0E045" w:rsidR="003C0BD6" w:rsidRDefault="003C0BD6" w:rsidP="0098083C">
      <w:r>
        <w:t xml:space="preserve">Given that it is backward compatible to support Rel-16/17 services for Rel-16/17 and Rel-18 UEs without PDCP duplication, the baseline solution should be to rely on the service-to-carrier mapping, meaning that the service supported by Rel-16/17 UEs needs to be mapped to the legacy single sidelink carrier, e.g., the one included in the </w:t>
      </w:r>
      <w:r w:rsidRPr="00B97CA2">
        <w:rPr>
          <w:i/>
          <w:iCs/>
        </w:rPr>
        <w:t>sl-FreqInfoList-r16</w:t>
      </w:r>
      <w:r>
        <w:t>.</w:t>
      </w:r>
    </w:p>
    <w:p w14:paraId="18C8A07E" w14:textId="09B146FB" w:rsidR="008D20F1" w:rsidRPr="00D6275D" w:rsidRDefault="006F251D" w:rsidP="009A0D26">
      <w:pPr>
        <w:pStyle w:val="Observation"/>
        <w:ind w:left="1701" w:hanging="1701"/>
      </w:pPr>
      <w:bookmarkStart w:id="11" w:name="_Toc142312457"/>
      <w:r>
        <w:rPr>
          <w:lang w:val="en-US"/>
        </w:rPr>
        <w:t xml:space="preserve">When </w:t>
      </w:r>
      <w:r w:rsidR="00D7149E">
        <w:rPr>
          <w:lang w:val="en-US"/>
        </w:rPr>
        <w:t>there is Rel-18 UEs receiving Rel-16/17 services, it is possible to ensure that there is no backward compatibility issue with Rel-16/17 UEs by mapping Re</w:t>
      </w:r>
      <w:r>
        <w:rPr>
          <w:lang w:val="en-US"/>
        </w:rPr>
        <w:t>l</w:t>
      </w:r>
      <w:r w:rsidR="00D7149E">
        <w:rPr>
          <w:lang w:val="en-US"/>
        </w:rPr>
        <w:t xml:space="preserve">-16/17 services to </w:t>
      </w:r>
      <w:r w:rsidR="00E44473">
        <w:rPr>
          <w:lang w:val="en-US"/>
        </w:rPr>
        <w:t>the</w:t>
      </w:r>
      <w:r w:rsidR="00D7149E">
        <w:rPr>
          <w:lang w:val="en-US"/>
        </w:rPr>
        <w:t xml:space="preserve"> legacy carrier</w:t>
      </w:r>
      <w:r>
        <w:rPr>
          <w:lang w:val="en-US"/>
        </w:rPr>
        <w:t>, i.e., via service-to-carrier mapping</w:t>
      </w:r>
      <w:r w:rsidR="00D7149E">
        <w:rPr>
          <w:lang w:val="en-US"/>
        </w:rPr>
        <w:t>.</w:t>
      </w:r>
      <w:bookmarkEnd w:id="11"/>
      <w:r w:rsidR="00D7149E">
        <w:rPr>
          <w:lang w:val="en-US"/>
        </w:rPr>
        <w:t xml:space="preserve"> </w:t>
      </w:r>
    </w:p>
    <w:p w14:paraId="0E62B1C9" w14:textId="77777777" w:rsidR="004307E9" w:rsidRDefault="004307E9" w:rsidP="00143B14"/>
    <w:p w14:paraId="18312694" w14:textId="5960582E" w:rsidR="005901A3" w:rsidRDefault="003C0BD6" w:rsidP="00143B14">
      <w:r>
        <w:t xml:space="preserve">The question is whether to support Rel-16/17 services with </w:t>
      </w:r>
      <w:r w:rsidR="005901A3">
        <w:t xml:space="preserve">the </w:t>
      </w:r>
      <w:r>
        <w:t>extended cover</w:t>
      </w:r>
      <w:r w:rsidR="00805ACF">
        <w:t>a</w:t>
      </w:r>
      <w:r>
        <w:t>ge in Rel-18</w:t>
      </w:r>
      <w:r w:rsidR="001C14DF">
        <w:t xml:space="preserve"> and how, if needed</w:t>
      </w:r>
      <w:r>
        <w:t xml:space="preserve">. In our view, if </w:t>
      </w:r>
      <w:r w:rsidR="00805ACF">
        <w:t xml:space="preserve">a </w:t>
      </w:r>
      <w:r>
        <w:t xml:space="preserve">different requirement is expected </w:t>
      </w:r>
      <w:r w:rsidR="005901A3">
        <w:t xml:space="preserve">in Rel-18 </w:t>
      </w:r>
      <w:r>
        <w:t xml:space="preserve">for the </w:t>
      </w:r>
      <w:r w:rsidR="005901A3">
        <w:t xml:space="preserve">Rel-16/17 </w:t>
      </w:r>
      <w:r>
        <w:t xml:space="preserve">service, it should be defined as a new and different </w:t>
      </w:r>
      <w:r w:rsidR="005901A3">
        <w:t xml:space="preserve">Rel-18 </w:t>
      </w:r>
      <w:r>
        <w:t>service so that it is only supported to the Rel-18 UEs and not supported to the Rel-16/17 UEs.</w:t>
      </w:r>
      <w:r w:rsidR="003A0EED">
        <w:t xml:space="preserve"> </w:t>
      </w:r>
      <w:r w:rsidR="003A0EED" w:rsidRPr="003A0EED">
        <w:t>If it is critical for Rel-16/17 and Rel-18 UEs to share the same service, it should be offered as a Rel-16/17 service with a consistent coverage expectation.</w:t>
      </w:r>
      <w:r w:rsidR="005901A3">
        <w:t xml:space="preserve"> </w:t>
      </w:r>
      <w:r>
        <w:t xml:space="preserve">Supporting the </w:t>
      </w:r>
      <w:r w:rsidR="005901A3">
        <w:t xml:space="preserve">Rel-16/17 </w:t>
      </w:r>
      <w:r>
        <w:t>service with</w:t>
      </w:r>
      <w:r w:rsidR="005901A3">
        <w:t xml:space="preserve"> </w:t>
      </w:r>
      <w:r w:rsidR="00143B14">
        <w:t xml:space="preserve">different coverage </w:t>
      </w:r>
      <w:r w:rsidR="00143B14">
        <w:rPr>
          <w:lang w:val="en-US"/>
        </w:rPr>
        <w:t>based</w:t>
      </w:r>
      <w:r w:rsidR="00143B14">
        <w:t xml:space="preserve"> on TX/RX pair </w:t>
      </w:r>
      <w:r w:rsidR="005901A3">
        <w:t xml:space="preserve">would only </w:t>
      </w:r>
      <w:r w:rsidR="00143B14">
        <w:t xml:space="preserve">make the implementation of those services more challenging. This is because the distribution of TX/RX UEs is random and </w:t>
      </w:r>
      <w:r w:rsidR="00805ACF">
        <w:t xml:space="preserve">makes </w:t>
      </w:r>
      <w:r w:rsidR="00143B14">
        <w:t>it difficult to pred</w:t>
      </w:r>
      <w:r w:rsidR="00383E50">
        <w:t>i</w:t>
      </w:r>
      <w:r w:rsidR="00143B14">
        <w:t>ct the coverage at which a particular service is being provided. Moreover, TX profile for PDCP duplication does not completely resolve the performance issue for Rel-18 UEs because Rel-18 RX UE still may not be able to receive the Rel-16/17 services with PDCP duplication if the TX UE is a Rel-16/17 UE.</w:t>
      </w:r>
    </w:p>
    <w:p w14:paraId="69F641A6" w14:textId="1C121DD3" w:rsidR="00143B14" w:rsidRDefault="00143B14" w:rsidP="00143B14">
      <w:pPr>
        <w:pStyle w:val="Observation"/>
        <w:ind w:left="1701" w:hanging="1701"/>
      </w:pPr>
      <w:bookmarkStart w:id="12" w:name="_Toc142312458"/>
      <w:r>
        <w:t>TX profile for PDCP duplication cannot resolve the performance issue complet</w:t>
      </w:r>
      <w:r w:rsidR="008D20F1">
        <w:t>e</w:t>
      </w:r>
      <w:r>
        <w:t>ly because Rel-18 RX UE</w:t>
      </w:r>
      <w:r w:rsidR="009E3F84">
        <w:t xml:space="preserve"> </w:t>
      </w:r>
      <w:r w:rsidR="009E3F84" w:rsidRPr="009E3F84">
        <w:t>at extended range</w:t>
      </w:r>
      <w:r>
        <w:t xml:space="preserve"> still cannot receive the Rel-16/17 services with PDCP duplication if Rel-16/17 UE </w:t>
      </w:r>
      <w:r w:rsidR="00131BAE">
        <w:t xml:space="preserve">not supporting </w:t>
      </w:r>
      <w:r w:rsidR="00FC7127">
        <w:t>carrier aggregation</w:t>
      </w:r>
      <w:r w:rsidR="00131BAE">
        <w:t xml:space="preserve"> </w:t>
      </w:r>
      <w:r>
        <w:t>is a TX UE.</w:t>
      </w:r>
      <w:bookmarkEnd w:id="12"/>
    </w:p>
    <w:p w14:paraId="76D616AF" w14:textId="5804AF87" w:rsidR="00143B14" w:rsidRDefault="00143B14" w:rsidP="00143B14">
      <w:pPr>
        <w:pStyle w:val="Observation"/>
        <w:ind w:left="1701" w:hanging="1701"/>
      </w:pPr>
      <w:bookmarkStart w:id="13" w:name="_Toc142312459"/>
      <w:r>
        <w:t xml:space="preserve">Supporting Rel-16/17 services with extended coverage would complicate the implementation of the service because the coverage of the service is unpredictable due to </w:t>
      </w:r>
      <w:r w:rsidR="00805ACF">
        <w:t xml:space="preserve">the </w:t>
      </w:r>
      <w:r>
        <w:t>random presence of TX and RX UE.</w:t>
      </w:r>
      <w:bookmarkEnd w:id="13"/>
    </w:p>
    <w:p w14:paraId="6715BF45" w14:textId="5E9560C3" w:rsidR="00143B14" w:rsidRPr="00D97729" w:rsidRDefault="00143B14" w:rsidP="00143B14">
      <w:pPr>
        <w:pStyle w:val="Observation"/>
        <w:ind w:left="1701" w:hanging="1701"/>
      </w:pPr>
      <w:bookmarkStart w:id="14" w:name="_Toc142312460"/>
      <w:r>
        <w:t xml:space="preserve">If </w:t>
      </w:r>
      <w:r w:rsidR="00383E50">
        <w:t>a</w:t>
      </w:r>
      <w:r>
        <w:t xml:space="preserve"> service needs to be supported with extended coverage, this service can be defined as a new service in Rel-18.</w:t>
      </w:r>
      <w:bookmarkEnd w:id="14"/>
      <w:r>
        <w:t xml:space="preserve"> </w:t>
      </w:r>
    </w:p>
    <w:p w14:paraId="4662A677" w14:textId="77777777" w:rsidR="00143B14" w:rsidRDefault="00143B14" w:rsidP="00143B14"/>
    <w:p w14:paraId="07DF22FE" w14:textId="23AE0C15" w:rsidR="000F1E79" w:rsidRDefault="00143B14" w:rsidP="000F1E79">
      <w:r>
        <w:t xml:space="preserve">With all observations, TX profile for PDCP duplication is neither motivated well nor beneficial for </w:t>
      </w:r>
      <w:r w:rsidR="00B97CA2">
        <w:t xml:space="preserve">stable support of the service. Therefore, </w:t>
      </w:r>
      <w:r w:rsidR="000F1E79">
        <w:t xml:space="preserve">it is proposed not to pursue </w:t>
      </w:r>
      <w:r w:rsidR="00B97CA2">
        <w:t>the</w:t>
      </w:r>
      <w:r w:rsidR="00D97729">
        <w:t xml:space="preserve"> “TX profile” solution</w:t>
      </w:r>
      <w:r w:rsidR="00B97CA2">
        <w:t xml:space="preserve"> for PDCP duplication</w:t>
      </w:r>
      <w:r w:rsidR="000F1E79">
        <w:t>.</w:t>
      </w:r>
    </w:p>
    <w:p w14:paraId="3734ED71" w14:textId="42A2C66D" w:rsidR="000F1E79" w:rsidRDefault="000F1E79" w:rsidP="004322C3">
      <w:pPr>
        <w:pStyle w:val="Proposal"/>
      </w:pPr>
      <w:bookmarkStart w:id="15" w:name="_Toc137049739"/>
      <w:bookmarkStart w:id="16" w:name="_Toc138766997"/>
      <w:r>
        <w:rPr>
          <w:rFonts w:hint="eastAsia"/>
        </w:rPr>
        <w:t>R</w:t>
      </w:r>
      <w:r>
        <w:t xml:space="preserve">AN2 not pursue </w:t>
      </w:r>
      <w:r w:rsidR="00D97729">
        <w:t xml:space="preserve">the ‘TX Profile’ </w:t>
      </w:r>
      <w:r w:rsidR="00B97CA2">
        <w:t>of PDCP duplication</w:t>
      </w:r>
      <w:r w:rsidR="00D97729" w:rsidRPr="00D97729">
        <w:t>.</w:t>
      </w:r>
      <w:bookmarkEnd w:id="15"/>
      <w:bookmarkEnd w:id="16"/>
      <w:r w:rsidR="00D97729" w:rsidRPr="00D97729">
        <w:t xml:space="preserve"> </w:t>
      </w:r>
    </w:p>
    <w:p w14:paraId="5932AE02" w14:textId="77777777" w:rsidR="00140747" w:rsidRDefault="00140747" w:rsidP="00140747">
      <w:bookmarkStart w:id="17" w:name="_Toc114214864"/>
      <w:bookmarkStart w:id="18" w:name="_Toc114245162"/>
      <w:bookmarkStart w:id="19" w:name="_Toc126008719"/>
      <w:bookmarkEnd w:id="17"/>
      <w:bookmarkEnd w:id="18"/>
      <w:bookmarkEnd w:id="19"/>
    </w:p>
    <w:p w14:paraId="2E58CC51" w14:textId="77777777" w:rsidR="00FB3C9D" w:rsidRDefault="003D1DDD">
      <w:pPr>
        <w:pStyle w:val="1"/>
      </w:pPr>
      <w:bookmarkStart w:id="20" w:name="_Toc114153059"/>
      <w:bookmarkEnd w:id="20"/>
      <w:r>
        <w:lastRenderedPageBreak/>
        <w:t>Conclusion</w:t>
      </w:r>
    </w:p>
    <w:p w14:paraId="4BF4CF42" w14:textId="77777777" w:rsidR="00932A4E" w:rsidRDefault="00932A4E" w:rsidP="00932A4E">
      <w:r>
        <w:t>We have the following observations:</w:t>
      </w:r>
    </w:p>
    <w:p w14:paraId="7EB3F64E" w14:textId="64E41C2C" w:rsidR="00A207B4" w:rsidRDefault="0012437A">
      <w:pPr>
        <w:pStyle w:val="TOC1"/>
        <w:rPr>
          <w:rFonts w:asciiTheme="minorHAnsi" w:eastAsiaTheme="minorEastAsia" w:hAnsiTheme="minorHAnsi" w:cstheme="minorBidi"/>
          <w:b w:val="0"/>
          <w:noProof/>
          <w:kern w:val="2"/>
          <w:sz w:val="21"/>
          <w14:ligatures w14:val="standardContextual"/>
        </w:rPr>
      </w:pPr>
      <w:r>
        <w:fldChar w:fldCharType="begin"/>
      </w:r>
      <w:r>
        <w:instrText xml:space="preserve"> TOC \n \h \z \t "Observation,1" </w:instrText>
      </w:r>
      <w:r>
        <w:fldChar w:fldCharType="separate"/>
      </w:r>
      <w:hyperlink w:anchor="_Toc142312454" w:history="1">
        <w:r w:rsidR="00A207B4" w:rsidRPr="00863E8E">
          <w:rPr>
            <w:rStyle w:val="af3"/>
            <w:noProof/>
          </w:rPr>
          <w:t>Observation 1</w:t>
        </w:r>
        <w:r w:rsidR="00A207B4">
          <w:rPr>
            <w:rFonts w:asciiTheme="minorHAnsi" w:eastAsiaTheme="minorEastAsia" w:hAnsiTheme="minorHAnsi" w:cstheme="minorBidi"/>
            <w:b w:val="0"/>
            <w:noProof/>
            <w:kern w:val="2"/>
            <w:sz w:val="21"/>
            <w14:ligatures w14:val="standardContextual"/>
          </w:rPr>
          <w:tab/>
        </w:r>
        <w:r w:rsidR="00A207B4" w:rsidRPr="00863E8E">
          <w:rPr>
            <w:rStyle w:val="af3"/>
            <w:noProof/>
          </w:rPr>
          <w:t>The proposed “TX profile” is to support a legacy service for Rel-18 RX UEs with extended coverage while it is sufficient to use a single carrier for Rel-16/17 RX UEs.</w:t>
        </w:r>
      </w:hyperlink>
    </w:p>
    <w:p w14:paraId="58FCF789" w14:textId="596C2671" w:rsidR="00A207B4" w:rsidRDefault="00A207B4">
      <w:pPr>
        <w:pStyle w:val="TOC1"/>
        <w:rPr>
          <w:rFonts w:asciiTheme="minorHAnsi" w:eastAsiaTheme="minorEastAsia" w:hAnsiTheme="minorHAnsi" w:cstheme="minorBidi"/>
          <w:b w:val="0"/>
          <w:noProof/>
          <w:kern w:val="2"/>
          <w:sz w:val="21"/>
          <w14:ligatures w14:val="standardContextual"/>
        </w:rPr>
      </w:pPr>
      <w:hyperlink w:anchor="_Toc142312455" w:history="1">
        <w:r w:rsidRPr="00863E8E">
          <w:rPr>
            <w:rStyle w:val="af3"/>
            <w:noProof/>
          </w:rPr>
          <w:t>Observation 2</w:t>
        </w:r>
        <w:r>
          <w:rPr>
            <w:rFonts w:asciiTheme="minorHAnsi" w:eastAsiaTheme="minorEastAsia" w:hAnsiTheme="minorHAnsi" w:cstheme="minorBidi"/>
            <w:b w:val="0"/>
            <w:noProof/>
            <w:kern w:val="2"/>
            <w:sz w:val="21"/>
            <w14:ligatures w14:val="standardContextual"/>
          </w:rPr>
          <w:tab/>
        </w:r>
        <w:r w:rsidRPr="00863E8E">
          <w:rPr>
            <w:rStyle w:val="af3"/>
            <w:noProof/>
          </w:rPr>
          <w:t>In Rel-18, when PDCP duplication is not used for Rel-16/17 services, there is no backward compatibility issue for Rel-16/17 UEs.</w:t>
        </w:r>
      </w:hyperlink>
    </w:p>
    <w:p w14:paraId="7BB11D81" w14:textId="4A68E653" w:rsidR="00A207B4" w:rsidRDefault="00A207B4">
      <w:pPr>
        <w:pStyle w:val="TOC1"/>
        <w:rPr>
          <w:rFonts w:asciiTheme="minorHAnsi" w:eastAsiaTheme="minorEastAsia" w:hAnsiTheme="minorHAnsi" w:cstheme="minorBidi"/>
          <w:b w:val="0"/>
          <w:noProof/>
          <w:kern w:val="2"/>
          <w:sz w:val="21"/>
          <w14:ligatures w14:val="standardContextual"/>
        </w:rPr>
      </w:pPr>
      <w:hyperlink w:anchor="_Toc142312456" w:history="1">
        <w:r w:rsidRPr="00863E8E">
          <w:rPr>
            <w:rStyle w:val="af3"/>
            <w:noProof/>
          </w:rPr>
          <w:t>Observation 3</w:t>
        </w:r>
        <w:r>
          <w:rPr>
            <w:rFonts w:asciiTheme="minorHAnsi" w:eastAsiaTheme="minorEastAsia" w:hAnsiTheme="minorHAnsi" w:cstheme="minorBidi"/>
            <w:b w:val="0"/>
            <w:noProof/>
            <w:kern w:val="2"/>
            <w:sz w:val="21"/>
            <w14:ligatures w14:val="standardContextual"/>
          </w:rPr>
          <w:tab/>
        </w:r>
        <w:r w:rsidRPr="00863E8E">
          <w:rPr>
            <w:rStyle w:val="af3"/>
            <w:noProof/>
          </w:rPr>
          <w:t>In Rel-18, when PDCP duplication is not used for Rel-16/17 services, the same performance issue is faced by Rel-18 UEs as to legacy Rel-16/17 UEs if the extended coverage is required for the Rel-16/17 services. If the coverage is not expected to be increased for Rel-16/17 services, there should be no performance issue even for Rel-18 UEs.</w:t>
        </w:r>
      </w:hyperlink>
    </w:p>
    <w:p w14:paraId="54C5DCCA" w14:textId="2DB62DB0" w:rsidR="00A207B4" w:rsidRDefault="00A207B4">
      <w:pPr>
        <w:pStyle w:val="TOC1"/>
        <w:rPr>
          <w:rFonts w:asciiTheme="minorHAnsi" w:eastAsiaTheme="minorEastAsia" w:hAnsiTheme="minorHAnsi" w:cstheme="minorBidi"/>
          <w:b w:val="0"/>
          <w:noProof/>
          <w:kern w:val="2"/>
          <w:sz w:val="21"/>
          <w14:ligatures w14:val="standardContextual"/>
        </w:rPr>
      </w:pPr>
      <w:hyperlink w:anchor="_Toc142312457" w:history="1">
        <w:r w:rsidRPr="00863E8E">
          <w:rPr>
            <w:rStyle w:val="af3"/>
            <w:noProof/>
          </w:rPr>
          <w:t>Observation 4</w:t>
        </w:r>
        <w:r>
          <w:rPr>
            <w:rFonts w:asciiTheme="minorHAnsi" w:eastAsiaTheme="minorEastAsia" w:hAnsiTheme="minorHAnsi" w:cstheme="minorBidi"/>
            <w:b w:val="0"/>
            <w:noProof/>
            <w:kern w:val="2"/>
            <w:sz w:val="21"/>
            <w14:ligatures w14:val="standardContextual"/>
          </w:rPr>
          <w:tab/>
        </w:r>
        <w:r w:rsidRPr="00863E8E">
          <w:rPr>
            <w:rStyle w:val="af3"/>
            <w:noProof/>
            <w:lang w:val="en-US"/>
          </w:rPr>
          <w:t>When there is Rel-18 UEs receiving Rel-16/17 services, it is possible to ensure that there is no backward compatibility issue with Rel-16/17 UEs by mapping Rel-16/17 services to the legacy carrier, i.e., via service-to-carrier mapping.</w:t>
        </w:r>
      </w:hyperlink>
    </w:p>
    <w:p w14:paraId="45B42632" w14:textId="3D2EDB7D" w:rsidR="00A207B4" w:rsidRDefault="00A207B4">
      <w:pPr>
        <w:pStyle w:val="TOC1"/>
        <w:rPr>
          <w:rFonts w:asciiTheme="minorHAnsi" w:eastAsiaTheme="minorEastAsia" w:hAnsiTheme="minorHAnsi" w:cstheme="minorBidi"/>
          <w:b w:val="0"/>
          <w:noProof/>
          <w:kern w:val="2"/>
          <w:sz w:val="21"/>
          <w14:ligatures w14:val="standardContextual"/>
        </w:rPr>
      </w:pPr>
      <w:hyperlink w:anchor="_Toc142312458" w:history="1">
        <w:r w:rsidRPr="00863E8E">
          <w:rPr>
            <w:rStyle w:val="af3"/>
            <w:noProof/>
          </w:rPr>
          <w:t>Observation 5</w:t>
        </w:r>
        <w:r>
          <w:rPr>
            <w:rFonts w:asciiTheme="minorHAnsi" w:eastAsiaTheme="minorEastAsia" w:hAnsiTheme="minorHAnsi" w:cstheme="minorBidi"/>
            <w:b w:val="0"/>
            <w:noProof/>
            <w:kern w:val="2"/>
            <w:sz w:val="21"/>
            <w14:ligatures w14:val="standardContextual"/>
          </w:rPr>
          <w:tab/>
        </w:r>
        <w:r w:rsidRPr="00863E8E">
          <w:rPr>
            <w:rStyle w:val="af3"/>
            <w:noProof/>
          </w:rPr>
          <w:t>TX profile for PDCP duplication cannot resolve the performance issue completely because Rel-18 RX UE at extended range still cannot receive the Rel-16/17 services with PDCP duplication if Rel-16/17 UE not supporting carrier aggregation is a TX UE.</w:t>
        </w:r>
      </w:hyperlink>
    </w:p>
    <w:p w14:paraId="2B2A2CD3" w14:textId="2B014A1D" w:rsidR="00A207B4" w:rsidRDefault="00A207B4">
      <w:pPr>
        <w:pStyle w:val="TOC1"/>
        <w:rPr>
          <w:rFonts w:asciiTheme="minorHAnsi" w:eastAsiaTheme="minorEastAsia" w:hAnsiTheme="minorHAnsi" w:cstheme="minorBidi"/>
          <w:b w:val="0"/>
          <w:noProof/>
          <w:kern w:val="2"/>
          <w:sz w:val="21"/>
          <w14:ligatures w14:val="standardContextual"/>
        </w:rPr>
      </w:pPr>
      <w:hyperlink w:anchor="_Toc142312459" w:history="1">
        <w:r w:rsidRPr="00863E8E">
          <w:rPr>
            <w:rStyle w:val="af3"/>
            <w:noProof/>
          </w:rPr>
          <w:t>Observation 6</w:t>
        </w:r>
        <w:r>
          <w:rPr>
            <w:rFonts w:asciiTheme="minorHAnsi" w:eastAsiaTheme="minorEastAsia" w:hAnsiTheme="minorHAnsi" w:cstheme="minorBidi"/>
            <w:b w:val="0"/>
            <w:noProof/>
            <w:kern w:val="2"/>
            <w:sz w:val="21"/>
            <w14:ligatures w14:val="standardContextual"/>
          </w:rPr>
          <w:tab/>
        </w:r>
        <w:r w:rsidRPr="00863E8E">
          <w:rPr>
            <w:rStyle w:val="af3"/>
            <w:noProof/>
          </w:rPr>
          <w:t>Supporting Rel-16/17 services with extended coverage would complicate the implementation of the service because the coverage of the service is unpredictable due to the random presence of TX and RX UE.</w:t>
        </w:r>
      </w:hyperlink>
    </w:p>
    <w:p w14:paraId="0C065A45" w14:textId="6B1AFC2A" w:rsidR="00A207B4" w:rsidRDefault="00A207B4">
      <w:pPr>
        <w:pStyle w:val="TOC1"/>
        <w:rPr>
          <w:rFonts w:asciiTheme="minorHAnsi" w:eastAsiaTheme="minorEastAsia" w:hAnsiTheme="minorHAnsi" w:cstheme="minorBidi"/>
          <w:b w:val="0"/>
          <w:noProof/>
          <w:kern w:val="2"/>
          <w:sz w:val="21"/>
          <w14:ligatures w14:val="standardContextual"/>
        </w:rPr>
      </w:pPr>
      <w:hyperlink w:anchor="_Toc142312460" w:history="1">
        <w:r w:rsidRPr="00863E8E">
          <w:rPr>
            <w:rStyle w:val="af3"/>
            <w:noProof/>
          </w:rPr>
          <w:t>Observation 7</w:t>
        </w:r>
        <w:r>
          <w:rPr>
            <w:rFonts w:asciiTheme="minorHAnsi" w:eastAsiaTheme="minorEastAsia" w:hAnsiTheme="minorHAnsi" w:cstheme="minorBidi"/>
            <w:b w:val="0"/>
            <w:noProof/>
            <w:kern w:val="2"/>
            <w:sz w:val="21"/>
            <w14:ligatures w14:val="standardContextual"/>
          </w:rPr>
          <w:tab/>
        </w:r>
        <w:r w:rsidRPr="00863E8E">
          <w:rPr>
            <w:rStyle w:val="af3"/>
            <w:noProof/>
          </w:rPr>
          <w:t>If a service needs to be supported with extended coverage, this service can be defined as a new service in Rel-18.</w:t>
        </w:r>
      </w:hyperlink>
    </w:p>
    <w:p w14:paraId="3F89E93E" w14:textId="6AC1C4B5" w:rsidR="00932A4E" w:rsidRDefault="0012437A" w:rsidP="00932A4E">
      <w:r>
        <w:fldChar w:fldCharType="end"/>
      </w:r>
    </w:p>
    <w:p w14:paraId="7962C03C" w14:textId="68311F48" w:rsidR="00FB3C9D" w:rsidRDefault="003D1DDD" w:rsidP="00932A4E">
      <w:r>
        <w:t>We have the following proposals:</w:t>
      </w:r>
    </w:p>
    <w:p w14:paraId="2FB0A27C" w14:textId="0F268399" w:rsidR="0012437A" w:rsidRDefault="0012437A">
      <w:pPr>
        <w:pStyle w:val="TOC1"/>
        <w:rPr>
          <w:rFonts w:asciiTheme="minorHAnsi" w:eastAsiaTheme="minorEastAsia" w:hAnsiTheme="minorHAnsi" w:cstheme="minorBidi"/>
          <w:b w:val="0"/>
          <w:noProof/>
          <w:kern w:val="2"/>
          <w:sz w:val="21"/>
          <w14:ligatures w14:val="standardContextual"/>
        </w:rPr>
      </w:pPr>
      <w:r>
        <w:rPr>
          <w:rFonts w:ascii="等线" w:eastAsia="等线" w:hAnsi="等线" w:cs="等线"/>
          <w:b w:val="0"/>
        </w:rPr>
        <w:fldChar w:fldCharType="begin"/>
      </w:r>
      <w:r>
        <w:rPr>
          <w:rFonts w:ascii="等线" w:eastAsia="等线" w:hAnsi="等线" w:cs="等线"/>
          <w:b w:val="0"/>
        </w:rPr>
        <w:instrText xml:space="preserve"> TOC \n \h \z \t "Proposal,1" </w:instrText>
      </w:r>
      <w:r>
        <w:rPr>
          <w:rFonts w:ascii="等线" w:eastAsia="等线" w:hAnsi="等线" w:cs="等线"/>
          <w:b w:val="0"/>
        </w:rPr>
        <w:fldChar w:fldCharType="separate"/>
      </w:r>
      <w:hyperlink w:anchor="_Toc138766997" w:history="1">
        <w:r w:rsidRPr="00E11348">
          <w:rPr>
            <w:rStyle w:val="af3"/>
            <w:noProof/>
          </w:rPr>
          <w:t>Proposal 1</w:t>
        </w:r>
        <w:r>
          <w:rPr>
            <w:rFonts w:asciiTheme="minorHAnsi" w:eastAsiaTheme="minorEastAsia" w:hAnsiTheme="minorHAnsi" w:cstheme="minorBidi"/>
            <w:b w:val="0"/>
            <w:noProof/>
            <w:kern w:val="2"/>
            <w:sz w:val="21"/>
            <w14:ligatures w14:val="standardContextual"/>
          </w:rPr>
          <w:tab/>
        </w:r>
        <w:r w:rsidRPr="00E11348">
          <w:rPr>
            <w:rStyle w:val="af3"/>
            <w:noProof/>
          </w:rPr>
          <w:t>RAN2 not pursue the ‘TX Profile’ of PDCP duplication.</w:t>
        </w:r>
      </w:hyperlink>
    </w:p>
    <w:p w14:paraId="709E4DDE" w14:textId="26563149" w:rsidR="00FB3C9D" w:rsidRDefault="0012437A">
      <w:pPr>
        <w:rPr>
          <w:rFonts w:ascii="等线" w:eastAsia="等线" w:hAnsi="等线" w:cs="等线"/>
          <w:b/>
          <w:sz w:val="22"/>
        </w:rPr>
      </w:pPr>
      <w:r>
        <w:rPr>
          <w:rFonts w:ascii="等线" w:eastAsia="等线" w:hAnsi="等线" w:cs="等线"/>
          <w:b/>
          <w:sz w:val="22"/>
        </w:rPr>
        <w:fldChar w:fldCharType="end"/>
      </w:r>
    </w:p>
    <w:p w14:paraId="041E3CCE" w14:textId="77777777" w:rsidR="00FB3C9D" w:rsidRDefault="003D1DDD">
      <w:pPr>
        <w:pStyle w:val="1"/>
      </w:pPr>
      <w:bookmarkStart w:id="21" w:name="_In-sequence_SDU_delivery"/>
      <w:bookmarkStart w:id="22" w:name="_Ref189809556"/>
      <w:bookmarkStart w:id="23" w:name="_Ref174151459"/>
      <w:bookmarkStart w:id="24" w:name="_Ref450865335"/>
      <w:bookmarkEnd w:id="21"/>
      <w:r>
        <w:rPr>
          <w:rFonts w:hint="eastAsia"/>
        </w:rPr>
        <w:t>Reference</w:t>
      </w:r>
      <w:bookmarkEnd w:id="22"/>
      <w:bookmarkEnd w:id="23"/>
      <w:bookmarkEnd w:id="24"/>
    </w:p>
    <w:p w14:paraId="66A80CB6" w14:textId="4FF626C9" w:rsidR="00FB3C9D" w:rsidRPr="00B42451" w:rsidRDefault="00627ECA" w:rsidP="00B42451">
      <w:pPr>
        <w:rPr>
          <w:rFonts w:hint="eastAsia"/>
        </w:rPr>
      </w:pPr>
      <w:r>
        <w:t>[</w:t>
      </w:r>
      <w:r w:rsidR="00140747">
        <w:t>1</w:t>
      </w:r>
      <w:r>
        <w:t xml:space="preserve">] </w:t>
      </w:r>
      <w:r w:rsidR="00B42451">
        <w:t>R2-2306545</w:t>
      </w:r>
      <w:r w:rsidR="00B42451">
        <w:tab/>
        <w:t>Report from session on LTE V2X and NR SL</w:t>
      </w:r>
      <w:r w:rsidR="00B42451">
        <w:tab/>
        <w:t>Session chair (Samsung)</w:t>
      </w:r>
      <w:r w:rsidR="00B42451">
        <w:tab/>
        <w:t>Report</w:t>
      </w:r>
    </w:p>
    <w:sectPr w:rsidR="00FB3C9D" w:rsidRPr="00B42451">
      <w:footerReference w:type="default" r:id="rId11"/>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3E8B4" w14:textId="77777777" w:rsidR="00E848C5" w:rsidRDefault="00E848C5">
      <w:pPr>
        <w:spacing w:after="0"/>
      </w:pPr>
      <w:r>
        <w:separator/>
      </w:r>
    </w:p>
  </w:endnote>
  <w:endnote w:type="continuationSeparator" w:id="0">
    <w:p w14:paraId="45D72E7B" w14:textId="77777777" w:rsidR="00E848C5" w:rsidRDefault="00E848C5">
      <w:pPr>
        <w:spacing w:after="0"/>
      </w:pPr>
      <w:r>
        <w:continuationSeparator/>
      </w:r>
    </w:p>
  </w:endnote>
  <w:endnote w:type="continuationNotice" w:id="1">
    <w:p w14:paraId="1CA1A8AD" w14:textId="77777777" w:rsidR="00E848C5" w:rsidRDefault="00E848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AE2A69" w:rsidRDefault="00AE2A69">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CBC50" w14:textId="77777777" w:rsidR="00E848C5" w:rsidRDefault="00E848C5">
      <w:pPr>
        <w:spacing w:after="0"/>
      </w:pPr>
      <w:r>
        <w:separator/>
      </w:r>
    </w:p>
  </w:footnote>
  <w:footnote w:type="continuationSeparator" w:id="0">
    <w:p w14:paraId="4681BE36" w14:textId="77777777" w:rsidR="00E848C5" w:rsidRDefault="00E848C5">
      <w:pPr>
        <w:spacing w:after="0"/>
      </w:pPr>
      <w:r>
        <w:continuationSeparator/>
      </w:r>
    </w:p>
  </w:footnote>
  <w:footnote w:type="continuationNotice" w:id="1">
    <w:p w14:paraId="71F7F3F4" w14:textId="77777777" w:rsidR="00E848C5" w:rsidRDefault="00E848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4F0D"/>
    <w:multiLevelType w:val="hybridMultilevel"/>
    <w:tmpl w:val="DC0671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E3A4D"/>
    <w:multiLevelType w:val="hybridMultilevel"/>
    <w:tmpl w:val="8AC6448A"/>
    <w:lvl w:ilvl="0" w:tplc="78CEFFB0">
      <w:start w:val="5"/>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6"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AD7743"/>
    <w:multiLevelType w:val="hybridMultilevel"/>
    <w:tmpl w:val="BAA26AAA"/>
    <w:lvl w:ilvl="0" w:tplc="083409FE">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9"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8E631A7"/>
    <w:multiLevelType w:val="hybridMultilevel"/>
    <w:tmpl w:val="0AB8A250"/>
    <w:lvl w:ilvl="0" w:tplc="04090001">
      <w:start w:val="1"/>
      <w:numFmt w:val="bullet"/>
      <w:lvlText w:val=""/>
      <w:lvlJc w:val="left"/>
      <w:pPr>
        <w:ind w:left="-708" w:hanging="360"/>
      </w:pPr>
      <w:rPr>
        <w:rFonts w:ascii="Symbol" w:hAnsi="Symbol" w:hint="default"/>
      </w:rPr>
    </w:lvl>
    <w:lvl w:ilvl="1" w:tplc="04090003" w:tentative="1">
      <w:start w:val="1"/>
      <w:numFmt w:val="bullet"/>
      <w:lvlText w:val="o"/>
      <w:lvlJc w:val="left"/>
      <w:pPr>
        <w:ind w:left="12" w:hanging="360"/>
      </w:pPr>
      <w:rPr>
        <w:rFonts w:ascii="Courier New" w:hAnsi="Courier New" w:cs="Courier New" w:hint="default"/>
      </w:rPr>
    </w:lvl>
    <w:lvl w:ilvl="2" w:tplc="04090005" w:tentative="1">
      <w:start w:val="1"/>
      <w:numFmt w:val="bullet"/>
      <w:lvlText w:val=""/>
      <w:lvlJc w:val="left"/>
      <w:pPr>
        <w:ind w:left="732" w:hanging="360"/>
      </w:pPr>
      <w:rPr>
        <w:rFonts w:ascii="Wingdings" w:hAnsi="Wingdings" w:hint="default"/>
      </w:rPr>
    </w:lvl>
    <w:lvl w:ilvl="3" w:tplc="04090001" w:tentative="1">
      <w:start w:val="1"/>
      <w:numFmt w:val="bullet"/>
      <w:lvlText w:val=""/>
      <w:lvlJc w:val="left"/>
      <w:pPr>
        <w:ind w:left="1452" w:hanging="360"/>
      </w:pPr>
      <w:rPr>
        <w:rFonts w:ascii="Symbol" w:hAnsi="Symbol" w:hint="default"/>
      </w:rPr>
    </w:lvl>
    <w:lvl w:ilvl="4" w:tplc="04090003" w:tentative="1">
      <w:start w:val="1"/>
      <w:numFmt w:val="bullet"/>
      <w:lvlText w:val="o"/>
      <w:lvlJc w:val="left"/>
      <w:pPr>
        <w:ind w:left="2172" w:hanging="360"/>
      </w:pPr>
      <w:rPr>
        <w:rFonts w:ascii="Courier New" w:hAnsi="Courier New" w:cs="Courier New" w:hint="default"/>
      </w:rPr>
    </w:lvl>
    <w:lvl w:ilvl="5" w:tplc="04090005" w:tentative="1">
      <w:start w:val="1"/>
      <w:numFmt w:val="bullet"/>
      <w:lvlText w:val=""/>
      <w:lvlJc w:val="left"/>
      <w:pPr>
        <w:ind w:left="2892" w:hanging="360"/>
      </w:pPr>
      <w:rPr>
        <w:rFonts w:ascii="Wingdings" w:hAnsi="Wingdings" w:hint="default"/>
      </w:rPr>
    </w:lvl>
    <w:lvl w:ilvl="6" w:tplc="04090001" w:tentative="1">
      <w:start w:val="1"/>
      <w:numFmt w:val="bullet"/>
      <w:lvlText w:val=""/>
      <w:lvlJc w:val="left"/>
      <w:pPr>
        <w:ind w:left="3612" w:hanging="360"/>
      </w:pPr>
      <w:rPr>
        <w:rFonts w:ascii="Symbol" w:hAnsi="Symbol" w:hint="default"/>
      </w:rPr>
    </w:lvl>
    <w:lvl w:ilvl="7" w:tplc="04090003" w:tentative="1">
      <w:start w:val="1"/>
      <w:numFmt w:val="bullet"/>
      <w:lvlText w:val="o"/>
      <w:lvlJc w:val="left"/>
      <w:pPr>
        <w:ind w:left="4332" w:hanging="360"/>
      </w:pPr>
      <w:rPr>
        <w:rFonts w:ascii="Courier New" w:hAnsi="Courier New" w:cs="Courier New" w:hint="default"/>
      </w:rPr>
    </w:lvl>
    <w:lvl w:ilvl="8" w:tplc="04090005" w:tentative="1">
      <w:start w:val="1"/>
      <w:numFmt w:val="bullet"/>
      <w:lvlText w:val=""/>
      <w:lvlJc w:val="left"/>
      <w:pPr>
        <w:ind w:left="5052" w:hanging="360"/>
      </w:pPr>
      <w:rPr>
        <w:rFonts w:ascii="Wingdings" w:hAnsi="Wingdings" w:hint="default"/>
      </w:rPr>
    </w:lvl>
  </w:abstractNum>
  <w:abstractNum w:abstractNumId="11"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173DB5"/>
    <w:multiLevelType w:val="hybridMultilevel"/>
    <w:tmpl w:val="10027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69189F"/>
    <w:multiLevelType w:val="hybridMultilevel"/>
    <w:tmpl w:val="92C285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39B457B"/>
    <w:multiLevelType w:val="hybridMultilevel"/>
    <w:tmpl w:val="767867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C87865"/>
    <w:multiLevelType w:val="multilevel"/>
    <w:tmpl w:val="0ECB426C"/>
    <w:lvl w:ilvl="0">
      <w:numFmt w:val="bullet"/>
      <w:lvlText w:val=""/>
      <w:lvlJc w:val="left"/>
      <w:pPr>
        <w:ind w:left="363" w:hanging="360"/>
      </w:pPr>
      <w:rPr>
        <w:rFonts w:ascii="Symbol" w:eastAsia="Batang" w:hAnsi="Symbol" w:cs="Calibri"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20" w15:restartNumberingAfterBreak="0">
    <w:nsid w:val="4D12657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22"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367926"/>
    <w:multiLevelType w:val="hybridMultilevel"/>
    <w:tmpl w:val="1D0E0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150317"/>
    <w:multiLevelType w:val="hybridMultilevel"/>
    <w:tmpl w:val="33FA8D5A"/>
    <w:lvl w:ilvl="0" w:tplc="DFF4350A">
      <w:start w:val="6"/>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6"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AC2266"/>
    <w:multiLevelType w:val="hybridMultilevel"/>
    <w:tmpl w:val="A68010B0"/>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9" w15:restartNumberingAfterBreak="0">
    <w:nsid w:val="6DF93D1F"/>
    <w:multiLevelType w:val="hybridMultilevel"/>
    <w:tmpl w:val="FB802AA2"/>
    <w:lvl w:ilvl="0" w:tplc="78CEFFB0">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8A343F"/>
    <w:multiLevelType w:val="hybridMultilevel"/>
    <w:tmpl w:val="23EC907C"/>
    <w:lvl w:ilvl="0" w:tplc="3468FD22">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7E6C4A"/>
    <w:multiLevelType w:val="hybridMultilevel"/>
    <w:tmpl w:val="3558EB4E"/>
    <w:lvl w:ilvl="0" w:tplc="3468FD22">
      <w:start w:val="1"/>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84A03C2"/>
    <w:multiLevelType w:val="hybridMultilevel"/>
    <w:tmpl w:val="C3B224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03011233">
    <w:abstractNumId w:val="16"/>
  </w:num>
  <w:num w:numId="2" w16cid:durableId="1353728718">
    <w:abstractNumId w:val="15"/>
  </w:num>
  <w:num w:numId="3" w16cid:durableId="1646158457">
    <w:abstractNumId w:val="30"/>
  </w:num>
  <w:num w:numId="4" w16cid:durableId="1448810945">
    <w:abstractNumId w:val="6"/>
  </w:num>
  <w:num w:numId="5" w16cid:durableId="1728604519">
    <w:abstractNumId w:val="23"/>
  </w:num>
  <w:num w:numId="6" w16cid:durableId="19282198">
    <w:abstractNumId w:val="9"/>
  </w:num>
  <w:num w:numId="7" w16cid:durableId="1435516553">
    <w:abstractNumId w:val="8"/>
  </w:num>
  <w:num w:numId="8" w16cid:durableId="269972728">
    <w:abstractNumId w:val="22"/>
  </w:num>
  <w:num w:numId="9" w16cid:durableId="1427726609">
    <w:abstractNumId w:val="26"/>
  </w:num>
  <w:num w:numId="10" w16cid:durableId="1295597719">
    <w:abstractNumId w:val="21"/>
  </w:num>
  <w:num w:numId="11" w16cid:durableId="364797120">
    <w:abstractNumId w:val="12"/>
  </w:num>
  <w:num w:numId="12" w16cid:durableId="684131929">
    <w:abstractNumId w:val="5"/>
  </w:num>
  <w:num w:numId="13" w16cid:durableId="174349268">
    <w:abstractNumId w:val="11"/>
  </w:num>
  <w:num w:numId="14" w16cid:durableId="390083439">
    <w:abstractNumId w:val="28"/>
  </w:num>
  <w:num w:numId="15" w16cid:durableId="968898124">
    <w:abstractNumId w:val="33"/>
  </w:num>
  <w:num w:numId="16" w16cid:durableId="2007005533">
    <w:abstractNumId w:val="27"/>
  </w:num>
  <w:num w:numId="17" w16cid:durableId="1311329867">
    <w:abstractNumId w:val="7"/>
  </w:num>
  <w:num w:numId="18" w16cid:durableId="2016955304">
    <w:abstractNumId w:val="14"/>
  </w:num>
  <w:num w:numId="19" w16cid:durableId="204291450">
    <w:abstractNumId w:val="4"/>
  </w:num>
  <w:num w:numId="20" w16cid:durableId="1990016184">
    <w:abstractNumId w:val="10"/>
  </w:num>
  <w:num w:numId="21" w16cid:durableId="323625486">
    <w:abstractNumId w:val="13"/>
  </w:num>
  <w:num w:numId="22" w16cid:durableId="734546856">
    <w:abstractNumId w:val="24"/>
  </w:num>
  <w:num w:numId="23" w16cid:durableId="768159363">
    <w:abstractNumId w:val="32"/>
  </w:num>
  <w:num w:numId="24" w16cid:durableId="811212252">
    <w:abstractNumId w:val="31"/>
  </w:num>
  <w:num w:numId="25" w16cid:durableId="1027826477">
    <w:abstractNumId w:val="3"/>
  </w:num>
  <w:num w:numId="26" w16cid:durableId="722220008">
    <w:abstractNumId w:val="19"/>
  </w:num>
  <w:num w:numId="27" w16cid:durableId="1755280195">
    <w:abstractNumId w:val="20"/>
  </w:num>
  <w:num w:numId="28" w16cid:durableId="1796021977">
    <w:abstractNumId w:val="17"/>
  </w:num>
  <w:num w:numId="29" w16cid:durableId="411781096">
    <w:abstractNumId w:val="2"/>
  </w:num>
  <w:num w:numId="30" w16cid:durableId="1932665552">
    <w:abstractNumId w:val="29"/>
  </w:num>
  <w:num w:numId="31" w16cid:durableId="672806699">
    <w:abstractNumId w:val="0"/>
  </w:num>
  <w:num w:numId="32" w16cid:durableId="236326867">
    <w:abstractNumId w:val="28"/>
  </w:num>
  <w:num w:numId="33" w16cid:durableId="1732464156">
    <w:abstractNumId w:val="28"/>
  </w:num>
  <w:num w:numId="34" w16cid:durableId="1869946710">
    <w:abstractNumId w:val="28"/>
  </w:num>
  <w:num w:numId="35" w16cid:durableId="2121605393">
    <w:abstractNumId w:val="5"/>
  </w:num>
  <w:num w:numId="36" w16cid:durableId="1073434622">
    <w:abstractNumId w:val="25"/>
  </w:num>
  <w:num w:numId="37" w16cid:durableId="632098024">
    <w:abstractNumId w:val="28"/>
  </w:num>
  <w:num w:numId="38" w16cid:durableId="380790580">
    <w:abstractNumId w:val="28"/>
  </w:num>
  <w:num w:numId="39" w16cid:durableId="570307875">
    <w:abstractNumId w:val="28"/>
  </w:num>
  <w:num w:numId="40" w16cid:durableId="727387297">
    <w:abstractNumId w:val="1"/>
  </w:num>
  <w:num w:numId="41" w16cid:durableId="1244875260">
    <w:abstractNumId w:val="18"/>
  </w:num>
  <w:num w:numId="42" w16cid:durableId="413163256">
    <w:abstractNumId w:val="28"/>
  </w:num>
  <w:num w:numId="43" w16cid:durableId="1397818347">
    <w:abstractNumId w:val="28"/>
    <w:lvlOverride w:ilvl="0">
      <w:startOverride w:val="1"/>
    </w:lvlOverride>
  </w:num>
  <w:num w:numId="44" w16cid:durableId="465852737">
    <w:abstractNumId w:val="5"/>
    <w:lvlOverride w:ilvl="0">
      <w:startOverride w:val="1"/>
    </w:lvlOverride>
  </w:num>
  <w:num w:numId="45" w16cid:durableId="949241452">
    <w:abstractNumId w:val="28"/>
  </w:num>
  <w:num w:numId="46" w16cid:durableId="1805197139">
    <w:abstractNumId w:val="2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isplayBackgroundShape/>
  <w:bordersDoNotSurroundHeader/>
  <w:bordersDoNotSurroundFooter/>
  <w:hideSpellingErrors/>
  <w:hideGrammaticalErrors/>
  <w:proofState w:spelling="clean" w:grammar="clean"/>
  <w:defaultTabStop w:val="567"/>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1NjY3sTAwMjAzMDJS0lEKTi0uzszPAykwMagFAPxcsvktAAAA"/>
  </w:docVars>
  <w:rsids>
    <w:rsidRoot w:val="00FB3C9D"/>
    <w:rsid w:val="000007DD"/>
    <w:rsid w:val="0000088E"/>
    <w:rsid w:val="00001242"/>
    <w:rsid w:val="00014E4C"/>
    <w:rsid w:val="000150AA"/>
    <w:rsid w:val="00015DBC"/>
    <w:rsid w:val="00017121"/>
    <w:rsid w:val="000219C6"/>
    <w:rsid w:val="00033E8E"/>
    <w:rsid w:val="00034B3C"/>
    <w:rsid w:val="00041594"/>
    <w:rsid w:val="00042B60"/>
    <w:rsid w:val="00044D3C"/>
    <w:rsid w:val="00046D62"/>
    <w:rsid w:val="000548E5"/>
    <w:rsid w:val="000557A6"/>
    <w:rsid w:val="000571A8"/>
    <w:rsid w:val="00064493"/>
    <w:rsid w:val="00064911"/>
    <w:rsid w:val="0009085A"/>
    <w:rsid w:val="0009509B"/>
    <w:rsid w:val="000A659A"/>
    <w:rsid w:val="000B7A5D"/>
    <w:rsid w:val="000C7167"/>
    <w:rsid w:val="000D4675"/>
    <w:rsid w:val="000D4B5F"/>
    <w:rsid w:val="000F1E79"/>
    <w:rsid w:val="000F2197"/>
    <w:rsid w:val="0010049B"/>
    <w:rsid w:val="00100725"/>
    <w:rsid w:val="00103D3F"/>
    <w:rsid w:val="00105274"/>
    <w:rsid w:val="00105834"/>
    <w:rsid w:val="00110CED"/>
    <w:rsid w:val="0011314E"/>
    <w:rsid w:val="00114ADA"/>
    <w:rsid w:val="00120B41"/>
    <w:rsid w:val="0012437A"/>
    <w:rsid w:val="00126A6B"/>
    <w:rsid w:val="0012753A"/>
    <w:rsid w:val="00131BAE"/>
    <w:rsid w:val="00136D1F"/>
    <w:rsid w:val="00140747"/>
    <w:rsid w:val="00141294"/>
    <w:rsid w:val="00142475"/>
    <w:rsid w:val="00143B14"/>
    <w:rsid w:val="0014425F"/>
    <w:rsid w:val="00146E5B"/>
    <w:rsid w:val="00147262"/>
    <w:rsid w:val="001621DD"/>
    <w:rsid w:val="001632EC"/>
    <w:rsid w:val="00167BEA"/>
    <w:rsid w:val="00171F21"/>
    <w:rsid w:val="001757A7"/>
    <w:rsid w:val="001849E5"/>
    <w:rsid w:val="001934D9"/>
    <w:rsid w:val="001B3D23"/>
    <w:rsid w:val="001B490B"/>
    <w:rsid w:val="001B605E"/>
    <w:rsid w:val="001B64DA"/>
    <w:rsid w:val="001C14DF"/>
    <w:rsid w:val="001C3126"/>
    <w:rsid w:val="001C4157"/>
    <w:rsid w:val="001D1836"/>
    <w:rsid w:val="001D74B2"/>
    <w:rsid w:val="002034C4"/>
    <w:rsid w:val="002070B3"/>
    <w:rsid w:val="00212650"/>
    <w:rsid w:val="002226D1"/>
    <w:rsid w:val="00225803"/>
    <w:rsid w:val="002263CB"/>
    <w:rsid w:val="002269C1"/>
    <w:rsid w:val="00227211"/>
    <w:rsid w:val="00227292"/>
    <w:rsid w:val="00231ED6"/>
    <w:rsid w:val="00232E21"/>
    <w:rsid w:val="00235180"/>
    <w:rsid w:val="00244866"/>
    <w:rsid w:val="002536CA"/>
    <w:rsid w:val="00257DD1"/>
    <w:rsid w:val="00260206"/>
    <w:rsid w:val="0026303B"/>
    <w:rsid w:val="00263DE2"/>
    <w:rsid w:val="00270CD8"/>
    <w:rsid w:val="002713D3"/>
    <w:rsid w:val="00272753"/>
    <w:rsid w:val="00276BFA"/>
    <w:rsid w:val="0027707F"/>
    <w:rsid w:val="002833CC"/>
    <w:rsid w:val="00283719"/>
    <w:rsid w:val="00283C1B"/>
    <w:rsid w:val="0028589E"/>
    <w:rsid w:val="00294262"/>
    <w:rsid w:val="002A4986"/>
    <w:rsid w:val="002B125C"/>
    <w:rsid w:val="002B402A"/>
    <w:rsid w:val="002B418D"/>
    <w:rsid w:val="002B51EB"/>
    <w:rsid w:val="002C0372"/>
    <w:rsid w:val="002C2EFE"/>
    <w:rsid w:val="002D2DF1"/>
    <w:rsid w:val="002D7E9A"/>
    <w:rsid w:val="002E5A7B"/>
    <w:rsid w:val="002E5F91"/>
    <w:rsid w:val="002E6468"/>
    <w:rsid w:val="002E6820"/>
    <w:rsid w:val="002F16A4"/>
    <w:rsid w:val="002F3346"/>
    <w:rsid w:val="002F6B1B"/>
    <w:rsid w:val="0030655C"/>
    <w:rsid w:val="00306EDF"/>
    <w:rsid w:val="00311FDC"/>
    <w:rsid w:val="003134B3"/>
    <w:rsid w:val="0031390F"/>
    <w:rsid w:val="00320928"/>
    <w:rsid w:val="00325BFC"/>
    <w:rsid w:val="00336AE4"/>
    <w:rsid w:val="00336DBA"/>
    <w:rsid w:val="0034226A"/>
    <w:rsid w:val="00343017"/>
    <w:rsid w:val="00355E21"/>
    <w:rsid w:val="0036701C"/>
    <w:rsid w:val="00370BFE"/>
    <w:rsid w:val="00383E50"/>
    <w:rsid w:val="00391515"/>
    <w:rsid w:val="003A0EED"/>
    <w:rsid w:val="003B1723"/>
    <w:rsid w:val="003B392E"/>
    <w:rsid w:val="003C0BD6"/>
    <w:rsid w:val="003C2081"/>
    <w:rsid w:val="003C43B0"/>
    <w:rsid w:val="003D1DDD"/>
    <w:rsid w:val="003D232F"/>
    <w:rsid w:val="003D6D0D"/>
    <w:rsid w:val="003D7775"/>
    <w:rsid w:val="003E3AFA"/>
    <w:rsid w:val="003F0359"/>
    <w:rsid w:val="00405549"/>
    <w:rsid w:val="004060D7"/>
    <w:rsid w:val="0041279E"/>
    <w:rsid w:val="00414E85"/>
    <w:rsid w:val="00426961"/>
    <w:rsid w:val="004307E9"/>
    <w:rsid w:val="00431991"/>
    <w:rsid w:val="004322C3"/>
    <w:rsid w:val="0043359C"/>
    <w:rsid w:val="0043433F"/>
    <w:rsid w:val="00441320"/>
    <w:rsid w:val="00441DA1"/>
    <w:rsid w:val="00466280"/>
    <w:rsid w:val="00466D8A"/>
    <w:rsid w:val="00476F75"/>
    <w:rsid w:val="0048038A"/>
    <w:rsid w:val="004A0C25"/>
    <w:rsid w:val="004A0E58"/>
    <w:rsid w:val="004A2923"/>
    <w:rsid w:val="004A37B0"/>
    <w:rsid w:val="004B4948"/>
    <w:rsid w:val="004B4F9E"/>
    <w:rsid w:val="004C4B19"/>
    <w:rsid w:val="004C4DAE"/>
    <w:rsid w:val="004C5E5B"/>
    <w:rsid w:val="004C7663"/>
    <w:rsid w:val="004D1103"/>
    <w:rsid w:val="004D6D56"/>
    <w:rsid w:val="004E13BE"/>
    <w:rsid w:val="004E27AC"/>
    <w:rsid w:val="004E3C37"/>
    <w:rsid w:val="004F0F81"/>
    <w:rsid w:val="004F69FC"/>
    <w:rsid w:val="0050494D"/>
    <w:rsid w:val="00515E48"/>
    <w:rsid w:val="0052502E"/>
    <w:rsid w:val="00530509"/>
    <w:rsid w:val="00531313"/>
    <w:rsid w:val="00533156"/>
    <w:rsid w:val="0053332F"/>
    <w:rsid w:val="005365BA"/>
    <w:rsid w:val="00540504"/>
    <w:rsid w:val="005410C9"/>
    <w:rsid w:val="00542290"/>
    <w:rsid w:val="005442E9"/>
    <w:rsid w:val="0055520B"/>
    <w:rsid w:val="00555521"/>
    <w:rsid w:val="00556FD2"/>
    <w:rsid w:val="005608F2"/>
    <w:rsid w:val="0056179B"/>
    <w:rsid w:val="005638A4"/>
    <w:rsid w:val="00566B26"/>
    <w:rsid w:val="00567143"/>
    <w:rsid w:val="00570340"/>
    <w:rsid w:val="00575B23"/>
    <w:rsid w:val="005901A3"/>
    <w:rsid w:val="005934DD"/>
    <w:rsid w:val="005938C5"/>
    <w:rsid w:val="0059679F"/>
    <w:rsid w:val="005B5AE3"/>
    <w:rsid w:val="005D17B0"/>
    <w:rsid w:val="005E1135"/>
    <w:rsid w:val="005E411B"/>
    <w:rsid w:val="005E52A0"/>
    <w:rsid w:val="005E63A4"/>
    <w:rsid w:val="005E7F5A"/>
    <w:rsid w:val="00600046"/>
    <w:rsid w:val="00606E1A"/>
    <w:rsid w:val="00610954"/>
    <w:rsid w:val="00611260"/>
    <w:rsid w:val="00611615"/>
    <w:rsid w:val="0061237A"/>
    <w:rsid w:val="00613669"/>
    <w:rsid w:val="00614C44"/>
    <w:rsid w:val="00615C67"/>
    <w:rsid w:val="00620896"/>
    <w:rsid w:val="00621611"/>
    <w:rsid w:val="00627ECA"/>
    <w:rsid w:val="00631418"/>
    <w:rsid w:val="0063514E"/>
    <w:rsid w:val="00635370"/>
    <w:rsid w:val="00635B3F"/>
    <w:rsid w:val="0064093A"/>
    <w:rsid w:val="00650B49"/>
    <w:rsid w:val="00670AEE"/>
    <w:rsid w:val="00673166"/>
    <w:rsid w:val="00673954"/>
    <w:rsid w:val="0067688A"/>
    <w:rsid w:val="006917F4"/>
    <w:rsid w:val="006975C4"/>
    <w:rsid w:val="006A085B"/>
    <w:rsid w:val="006A1AC5"/>
    <w:rsid w:val="006A7CF0"/>
    <w:rsid w:val="006B1791"/>
    <w:rsid w:val="006B37FB"/>
    <w:rsid w:val="006B6770"/>
    <w:rsid w:val="006C7EE5"/>
    <w:rsid w:val="006E665D"/>
    <w:rsid w:val="006E7A2E"/>
    <w:rsid w:val="006F0C7A"/>
    <w:rsid w:val="006F251D"/>
    <w:rsid w:val="006F2B2B"/>
    <w:rsid w:val="006F3E47"/>
    <w:rsid w:val="00702FC5"/>
    <w:rsid w:val="00706FF2"/>
    <w:rsid w:val="00711CCE"/>
    <w:rsid w:val="00713D98"/>
    <w:rsid w:val="007260F9"/>
    <w:rsid w:val="00741CE7"/>
    <w:rsid w:val="007437AF"/>
    <w:rsid w:val="00744E94"/>
    <w:rsid w:val="007456E8"/>
    <w:rsid w:val="00747322"/>
    <w:rsid w:val="00750D45"/>
    <w:rsid w:val="00750E91"/>
    <w:rsid w:val="00753C4A"/>
    <w:rsid w:val="007554CA"/>
    <w:rsid w:val="00756022"/>
    <w:rsid w:val="00756256"/>
    <w:rsid w:val="00760187"/>
    <w:rsid w:val="00760D73"/>
    <w:rsid w:val="00764DB6"/>
    <w:rsid w:val="00787E33"/>
    <w:rsid w:val="00791EF7"/>
    <w:rsid w:val="00795873"/>
    <w:rsid w:val="007A3C4A"/>
    <w:rsid w:val="007A6E89"/>
    <w:rsid w:val="007B18C2"/>
    <w:rsid w:val="007B451D"/>
    <w:rsid w:val="007E0864"/>
    <w:rsid w:val="007E49F9"/>
    <w:rsid w:val="007E711E"/>
    <w:rsid w:val="007E7F45"/>
    <w:rsid w:val="007F1CAD"/>
    <w:rsid w:val="007F3AC5"/>
    <w:rsid w:val="007F3F48"/>
    <w:rsid w:val="007F46FD"/>
    <w:rsid w:val="007F6D44"/>
    <w:rsid w:val="00805ACF"/>
    <w:rsid w:val="008062BF"/>
    <w:rsid w:val="00817132"/>
    <w:rsid w:val="008176DB"/>
    <w:rsid w:val="00822734"/>
    <w:rsid w:val="00824391"/>
    <w:rsid w:val="00824411"/>
    <w:rsid w:val="008249A4"/>
    <w:rsid w:val="00825044"/>
    <w:rsid w:val="00825AAE"/>
    <w:rsid w:val="00826853"/>
    <w:rsid w:val="0083175C"/>
    <w:rsid w:val="008371CA"/>
    <w:rsid w:val="00842380"/>
    <w:rsid w:val="00846160"/>
    <w:rsid w:val="00850D4A"/>
    <w:rsid w:val="00850E0C"/>
    <w:rsid w:val="00853D38"/>
    <w:rsid w:val="00853E3F"/>
    <w:rsid w:val="00854DEF"/>
    <w:rsid w:val="00860331"/>
    <w:rsid w:val="00862119"/>
    <w:rsid w:val="0086243E"/>
    <w:rsid w:val="008676B6"/>
    <w:rsid w:val="00875D2C"/>
    <w:rsid w:val="00876542"/>
    <w:rsid w:val="008915DE"/>
    <w:rsid w:val="008934BB"/>
    <w:rsid w:val="008A250A"/>
    <w:rsid w:val="008C466E"/>
    <w:rsid w:val="008C6617"/>
    <w:rsid w:val="008C6AB2"/>
    <w:rsid w:val="008C7407"/>
    <w:rsid w:val="008D20F1"/>
    <w:rsid w:val="008E399F"/>
    <w:rsid w:val="008E5B3C"/>
    <w:rsid w:val="00901733"/>
    <w:rsid w:val="00912244"/>
    <w:rsid w:val="00926280"/>
    <w:rsid w:val="00926821"/>
    <w:rsid w:val="00927B95"/>
    <w:rsid w:val="00930A3A"/>
    <w:rsid w:val="00932A4E"/>
    <w:rsid w:val="00935B18"/>
    <w:rsid w:val="00950EBF"/>
    <w:rsid w:val="00953EC5"/>
    <w:rsid w:val="00961613"/>
    <w:rsid w:val="00964E9B"/>
    <w:rsid w:val="00975DDB"/>
    <w:rsid w:val="0098083C"/>
    <w:rsid w:val="009814D3"/>
    <w:rsid w:val="009921A1"/>
    <w:rsid w:val="00995B16"/>
    <w:rsid w:val="009A0D26"/>
    <w:rsid w:val="009A1E29"/>
    <w:rsid w:val="009A2C19"/>
    <w:rsid w:val="009A57F3"/>
    <w:rsid w:val="009B025D"/>
    <w:rsid w:val="009B0850"/>
    <w:rsid w:val="009B1A4B"/>
    <w:rsid w:val="009B3EEA"/>
    <w:rsid w:val="009B7064"/>
    <w:rsid w:val="009D759E"/>
    <w:rsid w:val="009E1DE7"/>
    <w:rsid w:val="009E3F84"/>
    <w:rsid w:val="009F6A07"/>
    <w:rsid w:val="00A036F8"/>
    <w:rsid w:val="00A03E9F"/>
    <w:rsid w:val="00A058BE"/>
    <w:rsid w:val="00A1181E"/>
    <w:rsid w:val="00A12392"/>
    <w:rsid w:val="00A1374E"/>
    <w:rsid w:val="00A15127"/>
    <w:rsid w:val="00A207B4"/>
    <w:rsid w:val="00A23AA2"/>
    <w:rsid w:val="00A25F07"/>
    <w:rsid w:val="00A33704"/>
    <w:rsid w:val="00A40869"/>
    <w:rsid w:val="00A458A5"/>
    <w:rsid w:val="00A547AF"/>
    <w:rsid w:val="00A56411"/>
    <w:rsid w:val="00A63512"/>
    <w:rsid w:val="00A70119"/>
    <w:rsid w:val="00A7379D"/>
    <w:rsid w:val="00A75972"/>
    <w:rsid w:val="00A8226D"/>
    <w:rsid w:val="00A84EC4"/>
    <w:rsid w:val="00A86924"/>
    <w:rsid w:val="00A876E8"/>
    <w:rsid w:val="00A95794"/>
    <w:rsid w:val="00AA6B7A"/>
    <w:rsid w:val="00AB1E4B"/>
    <w:rsid w:val="00AB44D2"/>
    <w:rsid w:val="00AC11D5"/>
    <w:rsid w:val="00AC4306"/>
    <w:rsid w:val="00AD20CE"/>
    <w:rsid w:val="00AE1A6B"/>
    <w:rsid w:val="00AE2A69"/>
    <w:rsid w:val="00AE4F06"/>
    <w:rsid w:val="00AF4EE0"/>
    <w:rsid w:val="00B024A0"/>
    <w:rsid w:val="00B03764"/>
    <w:rsid w:val="00B03FBE"/>
    <w:rsid w:val="00B1175B"/>
    <w:rsid w:val="00B12BCD"/>
    <w:rsid w:val="00B1684E"/>
    <w:rsid w:val="00B211DC"/>
    <w:rsid w:val="00B22EA9"/>
    <w:rsid w:val="00B257DD"/>
    <w:rsid w:val="00B3155F"/>
    <w:rsid w:val="00B3229F"/>
    <w:rsid w:val="00B33807"/>
    <w:rsid w:val="00B36F52"/>
    <w:rsid w:val="00B42451"/>
    <w:rsid w:val="00B43DBF"/>
    <w:rsid w:val="00B57277"/>
    <w:rsid w:val="00B57F2F"/>
    <w:rsid w:val="00B661F3"/>
    <w:rsid w:val="00B863C8"/>
    <w:rsid w:val="00B87C95"/>
    <w:rsid w:val="00B91F02"/>
    <w:rsid w:val="00B94913"/>
    <w:rsid w:val="00B97CA2"/>
    <w:rsid w:val="00BB0041"/>
    <w:rsid w:val="00BB1DC4"/>
    <w:rsid w:val="00BB69CD"/>
    <w:rsid w:val="00BC1DD5"/>
    <w:rsid w:val="00BC492C"/>
    <w:rsid w:val="00BC63F2"/>
    <w:rsid w:val="00BD2BBC"/>
    <w:rsid w:val="00BD2C36"/>
    <w:rsid w:val="00BD352C"/>
    <w:rsid w:val="00BE3519"/>
    <w:rsid w:val="00BE3DD1"/>
    <w:rsid w:val="00BE4114"/>
    <w:rsid w:val="00BF0625"/>
    <w:rsid w:val="00BF3AC0"/>
    <w:rsid w:val="00BF550E"/>
    <w:rsid w:val="00C002A0"/>
    <w:rsid w:val="00C06EF0"/>
    <w:rsid w:val="00C16105"/>
    <w:rsid w:val="00C16B81"/>
    <w:rsid w:val="00C344D4"/>
    <w:rsid w:val="00C3532F"/>
    <w:rsid w:val="00C37499"/>
    <w:rsid w:val="00C37891"/>
    <w:rsid w:val="00C41883"/>
    <w:rsid w:val="00C42A97"/>
    <w:rsid w:val="00C47710"/>
    <w:rsid w:val="00C511E1"/>
    <w:rsid w:val="00C526C1"/>
    <w:rsid w:val="00C56DCD"/>
    <w:rsid w:val="00C6255F"/>
    <w:rsid w:val="00C66555"/>
    <w:rsid w:val="00C71470"/>
    <w:rsid w:val="00C725E6"/>
    <w:rsid w:val="00C74C39"/>
    <w:rsid w:val="00C763EB"/>
    <w:rsid w:val="00C76F3A"/>
    <w:rsid w:val="00C77204"/>
    <w:rsid w:val="00C85D2E"/>
    <w:rsid w:val="00C8627C"/>
    <w:rsid w:val="00C86FB0"/>
    <w:rsid w:val="00C94308"/>
    <w:rsid w:val="00C97B0E"/>
    <w:rsid w:val="00CA7E46"/>
    <w:rsid w:val="00CC08A3"/>
    <w:rsid w:val="00CC2EA5"/>
    <w:rsid w:val="00CD13DA"/>
    <w:rsid w:val="00CD15DE"/>
    <w:rsid w:val="00CE12EE"/>
    <w:rsid w:val="00CF64BE"/>
    <w:rsid w:val="00D038C7"/>
    <w:rsid w:val="00D16A6F"/>
    <w:rsid w:val="00D21EA7"/>
    <w:rsid w:val="00D261CE"/>
    <w:rsid w:val="00D355FB"/>
    <w:rsid w:val="00D35AD9"/>
    <w:rsid w:val="00D35E46"/>
    <w:rsid w:val="00D37670"/>
    <w:rsid w:val="00D42F59"/>
    <w:rsid w:val="00D43664"/>
    <w:rsid w:val="00D43F4B"/>
    <w:rsid w:val="00D448DB"/>
    <w:rsid w:val="00D46CD8"/>
    <w:rsid w:val="00D57B2C"/>
    <w:rsid w:val="00D6275D"/>
    <w:rsid w:val="00D63EF1"/>
    <w:rsid w:val="00D64249"/>
    <w:rsid w:val="00D7149E"/>
    <w:rsid w:val="00D71C3B"/>
    <w:rsid w:val="00D7636A"/>
    <w:rsid w:val="00D80061"/>
    <w:rsid w:val="00D86EEF"/>
    <w:rsid w:val="00D92685"/>
    <w:rsid w:val="00D92A8D"/>
    <w:rsid w:val="00D95AC6"/>
    <w:rsid w:val="00D97729"/>
    <w:rsid w:val="00DB3D8D"/>
    <w:rsid w:val="00DB4E0D"/>
    <w:rsid w:val="00DB5A7D"/>
    <w:rsid w:val="00DC2E5F"/>
    <w:rsid w:val="00DC3FA1"/>
    <w:rsid w:val="00DD1A88"/>
    <w:rsid w:val="00DD2B5D"/>
    <w:rsid w:val="00DE1A86"/>
    <w:rsid w:val="00DE739F"/>
    <w:rsid w:val="00DE786F"/>
    <w:rsid w:val="00DF3EB7"/>
    <w:rsid w:val="00DF5B02"/>
    <w:rsid w:val="00E123D2"/>
    <w:rsid w:val="00E15B21"/>
    <w:rsid w:val="00E162DC"/>
    <w:rsid w:val="00E17AA9"/>
    <w:rsid w:val="00E215A1"/>
    <w:rsid w:val="00E23DF5"/>
    <w:rsid w:val="00E26695"/>
    <w:rsid w:val="00E266A8"/>
    <w:rsid w:val="00E31D0E"/>
    <w:rsid w:val="00E42BA3"/>
    <w:rsid w:val="00E44473"/>
    <w:rsid w:val="00E446DB"/>
    <w:rsid w:val="00E54656"/>
    <w:rsid w:val="00E62395"/>
    <w:rsid w:val="00E66442"/>
    <w:rsid w:val="00E67BF0"/>
    <w:rsid w:val="00E71DB8"/>
    <w:rsid w:val="00E75D46"/>
    <w:rsid w:val="00E848C5"/>
    <w:rsid w:val="00E92566"/>
    <w:rsid w:val="00EA7B3C"/>
    <w:rsid w:val="00EB6D3E"/>
    <w:rsid w:val="00EB76D3"/>
    <w:rsid w:val="00EC29ED"/>
    <w:rsid w:val="00EC4AA3"/>
    <w:rsid w:val="00EC69DF"/>
    <w:rsid w:val="00EC7C06"/>
    <w:rsid w:val="00EC7C5D"/>
    <w:rsid w:val="00ED511C"/>
    <w:rsid w:val="00EE2622"/>
    <w:rsid w:val="00EE4421"/>
    <w:rsid w:val="00EE48B1"/>
    <w:rsid w:val="00EE787E"/>
    <w:rsid w:val="00EF668E"/>
    <w:rsid w:val="00EF66BE"/>
    <w:rsid w:val="00EF77CC"/>
    <w:rsid w:val="00F030F6"/>
    <w:rsid w:val="00F10208"/>
    <w:rsid w:val="00F10671"/>
    <w:rsid w:val="00F1559D"/>
    <w:rsid w:val="00F15C90"/>
    <w:rsid w:val="00F20082"/>
    <w:rsid w:val="00F20FBE"/>
    <w:rsid w:val="00F22165"/>
    <w:rsid w:val="00F26B98"/>
    <w:rsid w:val="00F33D9C"/>
    <w:rsid w:val="00F35EAA"/>
    <w:rsid w:val="00F36E4B"/>
    <w:rsid w:val="00F407D5"/>
    <w:rsid w:val="00F40F5D"/>
    <w:rsid w:val="00F4111A"/>
    <w:rsid w:val="00F51663"/>
    <w:rsid w:val="00F61BEB"/>
    <w:rsid w:val="00F702F9"/>
    <w:rsid w:val="00F71B59"/>
    <w:rsid w:val="00F722B2"/>
    <w:rsid w:val="00F74450"/>
    <w:rsid w:val="00F80844"/>
    <w:rsid w:val="00F87B7A"/>
    <w:rsid w:val="00FA5269"/>
    <w:rsid w:val="00FA74B3"/>
    <w:rsid w:val="00FB0D73"/>
    <w:rsid w:val="00FB2414"/>
    <w:rsid w:val="00FB2C7D"/>
    <w:rsid w:val="00FB3C9D"/>
    <w:rsid w:val="00FB7245"/>
    <w:rsid w:val="00FC0C2F"/>
    <w:rsid w:val="00FC1AAF"/>
    <w:rsid w:val="00FC33C8"/>
    <w:rsid w:val="00FC6C49"/>
    <w:rsid w:val="00FC7127"/>
    <w:rsid w:val="00FD0523"/>
    <w:rsid w:val="00FD571C"/>
    <w:rsid w:val="00FD5D3C"/>
    <w:rsid w:val="00FE085C"/>
    <w:rsid w:val="00FE4207"/>
    <w:rsid w:val="00FE6A8C"/>
    <w:rsid w:val="00FF1D47"/>
    <w:rsid w:val="00FF3A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236B55"/>
  <w15:docId w15:val="{9FB8C93F-9861-487D-A8B2-8D3BDD417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D15DE"/>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1">
    <w:name w:val="Table Grid Light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1">
    <w:name w:val="Grid Table 1 Light - Accent 21"/>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1">
    <w:name w:val="Grid Table 1 Light - Accent 61"/>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1">
    <w:name w:val="Grid Table 2 - Accent 1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1">
    <w:name w:val="Grid Table 2 - Accent 21"/>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1">
    <w:name w:val="Grid Table 2 - Accent 31"/>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1">
    <w:name w:val="Grid Table 2 - Accent 41"/>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1">
    <w:name w:val="Grid Table 2 - Accent 51"/>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1">
    <w:name w:val="Grid Table 2 - Accent 61"/>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1">
    <w:name w:val="Grid Table 3 - Accent 1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1">
    <w:name w:val="Grid Table 3 - Accent 21"/>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1">
    <w:name w:val="Grid Table 3 - Accent 31"/>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1">
    <w:name w:val="Grid Table 3 - Accent 41"/>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1">
    <w:name w:val="Grid Table 3 - Accent 51"/>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1">
    <w:name w:val="Grid Table 3 - Accent 61"/>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1">
    <w:name w:val="Grid Table 4 - Accent 1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1">
    <w:name w:val="Grid Table 4 - Accent 21"/>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1">
    <w:name w:val="Grid Table 4 - Accent 31"/>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1">
    <w:name w:val="Grid Table 4 - Accent 41"/>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1">
    <w:name w:val="Grid Table 4 - Accent 51"/>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1">
    <w:name w:val="Grid Table 4 - Accent 61"/>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1">
    <w:name w:val="Grid Table 5 Dark - Accent 2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1">
    <w:name w:val="Grid Table 5 Dark - Accent 3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1">
    <w:name w:val="Grid Table 5 Dark - Accent 5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1">
    <w:name w:val="Grid Table 5 Dark - Accent 6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1">
    <w:name w:val="Grid Table 6 Colorful - Accent 21"/>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1">
    <w:name w:val="Grid Table 6 Colorful - Accent 61"/>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1">
    <w:name w:val="Grid Table 7 Colorful - Accent 21"/>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1">
    <w:name w:val="Grid Table 7 Colorful - Accent 61"/>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1">
    <w:name w:val="List Table 1 Light - Accent 1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1">
    <w:name w:val="List Table 1 Light - Accent 2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1">
    <w:name w:val="List Table 1 Light - Accent 3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1">
    <w:name w:val="List Table 1 Light - Accent 4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1">
    <w:name w:val="List Table 1 Light - Accent 5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1">
    <w:name w:val="List Table 1 Light - Accent 6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1">
    <w:name w:val="List Table 2 - Accent 1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1">
    <w:name w:val="List Table 2 - Accent 21"/>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1">
    <w:name w:val="List Table 2 - Accent 31"/>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1">
    <w:name w:val="List Table 2 - Accent 41"/>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1">
    <w:name w:val="List Table 2 - Accent 51"/>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1">
    <w:name w:val="List Table 2 - Accent 61"/>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1">
    <w:name w:val="List Table 3 - Accent 21"/>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1">
    <w:name w:val="List Table 3 - Accent 61"/>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1">
    <w:name w:val="List Table 4 - Accent 1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1">
    <w:name w:val="List Table 4 - Accent 21"/>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1">
    <w:name w:val="List Table 4 - Accent 31"/>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1">
    <w:name w:val="List Table 4 - Accent 41"/>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1">
    <w:name w:val="List Table 4 - Accent 51"/>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1">
    <w:name w:val="List Table 4 - Accent 61"/>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1">
    <w:name w:val="List Table 5 Dark - Accent 1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1">
    <w:name w:val="List Table 5 Dark - Accent 21"/>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1">
    <w:name w:val="List Table 5 Dark - Accent 31"/>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1">
    <w:name w:val="List Table 5 Dark - Accent 41"/>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1">
    <w:name w:val="List Table 5 Dark - Accent 51"/>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1">
    <w:name w:val="List Table 5 Dark - Accent 61"/>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1">
    <w:name w:val="List Table 6 Colorful - Accent 21"/>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1">
    <w:name w:val="List Table 6 Colorful - Accent 61"/>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1">
    <w:name w:val="List Table 7 Colorful - Accent 21"/>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1">
    <w:name w:val="List Table 7 Colorful - Accent 61"/>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rsid w:val="00AD20CE"/>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16">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2E5F91"/>
    <w:rPr>
      <w:rFonts w:ascii="Times" w:eastAsia="Batang" w:hAnsi="Times"/>
      <w:szCs w:val="24"/>
      <w:lang w:val="en-GB" w:eastAsia="x-none"/>
    </w:rPr>
  </w:style>
  <w:style w:type="character" w:styleId="afff">
    <w:name w:val="Unresolved Mention"/>
    <w:basedOn w:val="a1"/>
    <w:uiPriority w:val="99"/>
    <w:semiHidden/>
    <w:unhideWhenUsed/>
    <w:rsid w:val="00932A4E"/>
    <w:rPr>
      <w:color w:val="605E5C"/>
      <w:shd w:val="clear" w:color="auto" w:fill="E1DFDD"/>
    </w:rPr>
  </w:style>
  <w:style w:type="character" w:customStyle="1" w:styleId="B1Zchn">
    <w:name w:val="B1 Zchn"/>
    <w:rsid w:val="00F4111A"/>
    <w:rPr>
      <w:rFonts w:eastAsia="Times New Roman"/>
    </w:rPr>
  </w:style>
  <w:style w:type="character" w:customStyle="1" w:styleId="0MaintextChar">
    <w:name w:val="0 Main text Char"/>
    <w:link w:val="0Maintext"/>
    <w:qFormat/>
    <w:locked/>
    <w:rsid w:val="00600046"/>
    <w:rPr>
      <w:lang w:val="en-GB" w:eastAsia="en-US"/>
    </w:rPr>
  </w:style>
  <w:style w:type="paragraph" w:customStyle="1" w:styleId="0Maintext">
    <w:name w:val="0 Main text"/>
    <w:basedOn w:val="a0"/>
    <w:link w:val="0MaintextChar"/>
    <w:qFormat/>
    <w:rsid w:val="00600046"/>
    <w:pPr>
      <w:pBdr>
        <w:top w:val="none" w:sz="0" w:space="0" w:color="auto"/>
        <w:left w:val="none" w:sz="0" w:space="0" w:color="auto"/>
        <w:bottom w:val="none" w:sz="0" w:space="0" w:color="auto"/>
        <w:right w:val="none" w:sz="0" w:space="0" w:color="auto"/>
        <w:between w:val="none" w:sz="0" w:space="0" w:color="auto"/>
      </w:pBdr>
      <w:spacing w:after="0"/>
    </w:pPr>
    <w:rPr>
      <w:rFonts w:ascii="Times New Roman" w:hAnsi="Times New Roman"/>
      <w:lang w:eastAsia="en-US"/>
    </w:rPr>
  </w:style>
  <w:style w:type="table" w:customStyle="1" w:styleId="TableGridLight2">
    <w:name w:val="Table Grid Light2"/>
    <w:basedOn w:val="a2"/>
    <w:uiPriority w:val="59"/>
    <w:rsid w:val="00DE739F"/>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2">
    <w:name w:val="Grid Table 1 Light - Accent 12"/>
    <w:basedOn w:val="a2"/>
    <w:uiPriority w:val="99"/>
    <w:rsid w:val="00DE739F"/>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2">
    <w:name w:val="Grid Table 1 Light - Accent 22"/>
    <w:basedOn w:val="a2"/>
    <w:uiPriority w:val="99"/>
    <w:rsid w:val="00DE739F"/>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2">
    <w:name w:val="Grid Table 1 Light - Accent 32"/>
    <w:basedOn w:val="a2"/>
    <w:uiPriority w:val="99"/>
    <w:rsid w:val="00DE739F"/>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2">
    <w:name w:val="Grid Table 1 Light - Accent 42"/>
    <w:basedOn w:val="a2"/>
    <w:uiPriority w:val="99"/>
    <w:rsid w:val="00DE739F"/>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2">
    <w:name w:val="Grid Table 1 Light - Accent 52"/>
    <w:basedOn w:val="a2"/>
    <w:uiPriority w:val="99"/>
    <w:rsid w:val="00DE739F"/>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2">
    <w:name w:val="Grid Table 1 Light - Accent 62"/>
    <w:basedOn w:val="a2"/>
    <w:uiPriority w:val="99"/>
    <w:rsid w:val="00DE739F"/>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Accent12">
    <w:name w:val="Grid Table 2 - Accent 12"/>
    <w:basedOn w:val="a2"/>
    <w:uiPriority w:val="99"/>
    <w:rsid w:val="00DE739F"/>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2">
    <w:name w:val="Grid Table 2 - Accent 22"/>
    <w:basedOn w:val="a2"/>
    <w:uiPriority w:val="99"/>
    <w:rsid w:val="00DE739F"/>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2">
    <w:name w:val="Grid Table 2 - Accent 32"/>
    <w:basedOn w:val="a2"/>
    <w:uiPriority w:val="99"/>
    <w:rsid w:val="00DE739F"/>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2">
    <w:name w:val="Grid Table 2 - Accent 42"/>
    <w:basedOn w:val="a2"/>
    <w:uiPriority w:val="99"/>
    <w:rsid w:val="00DE739F"/>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2">
    <w:name w:val="Grid Table 2 - Accent 52"/>
    <w:basedOn w:val="a2"/>
    <w:uiPriority w:val="99"/>
    <w:rsid w:val="00DE739F"/>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2">
    <w:name w:val="Grid Table 2 - Accent 62"/>
    <w:basedOn w:val="a2"/>
    <w:uiPriority w:val="99"/>
    <w:rsid w:val="00DE739F"/>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3-Accent12">
    <w:name w:val="Grid Table 3 - Accent 12"/>
    <w:basedOn w:val="a2"/>
    <w:uiPriority w:val="99"/>
    <w:rsid w:val="00DE739F"/>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2">
    <w:name w:val="Grid Table 3 - Accent 22"/>
    <w:basedOn w:val="a2"/>
    <w:uiPriority w:val="99"/>
    <w:rsid w:val="00DE739F"/>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2">
    <w:name w:val="Grid Table 3 - Accent 32"/>
    <w:basedOn w:val="a2"/>
    <w:uiPriority w:val="99"/>
    <w:rsid w:val="00DE739F"/>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2">
    <w:name w:val="Grid Table 3 - Accent 42"/>
    <w:basedOn w:val="a2"/>
    <w:uiPriority w:val="99"/>
    <w:rsid w:val="00DE739F"/>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2">
    <w:name w:val="Grid Table 3 - Accent 52"/>
    <w:basedOn w:val="a2"/>
    <w:uiPriority w:val="99"/>
    <w:rsid w:val="00DE739F"/>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2">
    <w:name w:val="Grid Table 3 - Accent 62"/>
    <w:basedOn w:val="a2"/>
    <w:uiPriority w:val="99"/>
    <w:rsid w:val="00DE739F"/>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4-Accent12">
    <w:name w:val="Grid Table 4 - Accent 12"/>
    <w:basedOn w:val="a2"/>
    <w:uiPriority w:val="59"/>
    <w:rsid w:val="00DE739F"/>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2">
    <w:name w:val="Grid Table 4 - Accent 22"/>
    <w:basedOn w:val="a2"/>
    <w:uiPriority w:val="59"/>
    <w:rsid w:val="00DE739F"/>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2">
    <w:name w:val="Grid Table 4 - Accent 32"/>
    <w:basedOn w:val="a2"/>
    <w:uiPriority w:val="59"/>
    <w:rsid w:val="00DE739F"/>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2">
    <w:name w:val="Grid Table 4 - Accent 42"/>
    <w:basedOn w:val="a2"/>
    <w:uiPriority w:val="59"/>
    <w:rsid w:val="00DE739F"/>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2">
    <w:name w:val="Grid Table 4 - Accent 52"/>
    <w:basedOn w:val="a2"/>
    <w:uiPriority w:val="59"/>
    <w:rsid w:val="00DE739F"/>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2">
    <w:name w:val="Grid Table 4 - Accent 62"/>
    <w:basedOn w:val="a2"/>
    <w:uiPriority w:val="59"/>
    <w:rsid w:val="00DE739F"/>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5Dark-Accent22">
    <w:name w:val="Grid Table 5 Dark - Accent 22"/>
    <w:basedOn w:val="a2"/>
    <w:uiPriority w:val="99"/>
    <w:rsid w:val="00DE739F"/>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2">
    <w:name w:val="Grid Table 5 Dark - Accent 32"/>
    <w:basedOn w:val="a2"/>
    <w:uiPriority w:val="99"/>
    <w:rsid w:val="00DE739F"/>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52">
    <w:name w:val="Grid Table 5 Dark - Accent 52"/>
    <w:basedOn w:val="a2"/>
    <w:uiPriority w:val="99"/>
    <w:rsid w:val="00DE739F"/>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2">
    <w:name w:val="Grid Table 5 Dark - Accent 62"/>
    <w:basedOn w:val="a2"/>
    <w:uiPriority w:val="99"/>
    <w:rsid w:val="00DE739F"/>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customStyle="1" w:styleId="GridTable6Colorful-Accent12">
    <w:name w:val="Grid Table 6 Colorful - Accent 12"/>
    <w:basedOn w:val="a2"/>
    <w:uiPriority w:val="99"/>
    <w:rsid w:val="00DE739F"/>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2">
    <w:name w:val="Grid Table 6 Colorful - Accent 22"/>
    <w:basedOn w:val="a2"/>
    <w:uiPriority w:val="99"/>
    <w:rsid w:val="00DE739F"/>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2">
    <w:name w:val="Grid Table 6 Colorful - Accent 32"/>
    <w:basedOn w:val="a2"/>
    <w:uiPriority w:val="99"/>
    <w:rsid w:val="00DE739F"/>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2">
    <w:name w:val="Grid Table 6 Colorful - Accent 42"/>
    <w:basedOn w:val="a2"/>
    <w:uiPriority w:val="99"/>
    <w:rsid w:val="00DE739F"/>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2">
    <w:name w:val="Grid Table 6 Colorful - Accent 52"/>
    <w:basedOn w:val="a2"/>
    <w:uiPriority w:val="99"/>
    <w:rsid w:val="00DE739F"/>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2">
    <w:name w:val="Grid Table 6 Colorful - Accent 62"/>
    <w:basedOn w:val="a2"/>
    <w:uiPriority w:val="99"/>
    <w:rsid w:val="00DE739F"/>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customStyle="1" w:styleId="GridTable7Colorful-Accent12">
    <w:name w:val="Grid Table 7 Colorful - Accent 12"/>
    <w:basedOn w:val="a2"/>
    <w:uiPriority w:val="99"/>
    <w:rsid w:val="00DE739F"/>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2">
    <w:name w:val="Grid Table 7 Colorful - Accent 22"/>
    <w:basedOn w:val="a2"/>
    <w:uiPriority w:val="99"/>
    <w:rsid w:val="00DE739F"/>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2">
    <w:name w:val="Grid Table 7 Colorful - Accent 32"/>
    <w:basedOn w:val="a2"/>
    <w:uiPriority w:val="99"/>
    <w:rsid w:val="00DE739F"/>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2">
    <w:name w:val="Grid Table 7 Colorful - Accent 42"/>
    <w:basedOn w:val="a2"/>
    <w:uiPriority w:val="99"/>
    <w:rsid w:val="00DE739F"/>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2">
    <w:name w:val="Grid Table 7 Colorful - Accent 52"/>
    <w:basedOn w:val="a2"/>
    <w:uiPriority w:val="99"/>
    <w:rsid w:val="00DE739F"/>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2">
    <w:name w:val="Grid Table 7 Colorful - Accent 62"/>
    <w:basedOn w:val="a2"/>
    <w:uiPriority w:val="99"/>
    <w:rsid w:val="00DE739F"/>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customStyle="1" w:styleId="ListTable1Light-Accent12">
    <w:name w:val="List Table 1 Light - Accent 12"/>
    <w:basedOn w:val="a2"/>
    <w:uiPriority w:val="99"/>
    <w:rsid w:val="00DE739F"/>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2">
    <w:name w:val="List Table 1 Light - Accent 22"/>
    <w:basedOn w:val="a2"/>
    <w:uiPriority w:val="99"/>
    <w:rsid w:val="00DE739F"/>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2">
    <w:name w:val="List Table 1 Light - Accent 32"/>
    <w:basedOn w:val="a2"/>
    <w:uiPriority w:val="99"/>
    <w:rsid w:val="00DE739F"/>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2">
    <w:name w:val="List Table 1 Light - Accent 42"/>
    <w:basedOn w:val="a2"/>
    <w:uiPriority w:val="99"/>
    <w:rsid w:val="00DE739F"/>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2">
    <w:name w:val="List Table 1 Light - Accent 52"/>
    <w:basedOn w:val="a2"/>
    <w:uiPriority w:val="99"/>
    <w:rsid w:val="00DE739F"/>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2">
    <w:name w:val="List Table 1 Light - Accent 62"/>
    <w:basedOn w:val="a2"/>
    <w:uiPriority w:val="99"/>
    <w:rsid w:val="00DE739F"/>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customStyle="1" w:styleId="ListTable2-Accent12">
    <w:name w:val="List Table 2 - Accent 12"/>
    <w:basedOn w:val="a2"/>
    <w:uiPriority w:val="99"/>
    <w:rsid w:val="00DE739F"/>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2">
    <w:name w:val="List Table 2 - Accent 22"/>
    <w:basedOn w:val="a2"/>
    <w:uiPriority w:val="99"/>
    <w:rsid w:val="00DE739F"/>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2">
    <w:name w:val="List Table 2 - Accent 32"/>
    <w:basedOn w:val="a2"/>
    <w:uiPriority w:val="99"/>
    <w:rsid w:val="00DE739F"/>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2">
    <w:name w:val="List Table 2 - Accent 42"/>
    <w:basedOn w:val="a2"/>
    <w:uiPriority w:val="99"/>
    <w:rsid w:val="00DE739F"/>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2">
    <w:name w:val="List Table 2 - Accent 52"/>
    <w:basedOn w:val="a2"/>
    <w:uiPriority w:val="99"/>
    <w:rsid w:val="00DE739F"/>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2">
    <w:name w:val="List Table 2 - Accent 62"/>
    <w:basedOn w:val="a2"/>
    <w:uiPriority w:val="99"/>
    <w:rsid w:val="00DE739F"/>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customStyle="1" w:styleId="ListTable3-Accent12">
    <w:name w:val="List Table 3 - Accent 12"/>
    <w:basedOn w:val="a2"/>
    <w:uiPriority w:val="99"/>
    <w:rsid w:val="00DE739F"/>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2">
    <w:name w:val="List Table 3 - Accent 22"/>
    <w:basedOn w:val="a2"/>
    <w:uiPriority w:val="99"/>
    <w:rsid w:val="00DE739F"/>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2">
    <w:name w:val="List Table 3 - Accent 32"/>
    <w:basedOn w:val="a2"/>
    <w:uiPriority w:val="99"/>
    <w:rsid w:val="00DE739F"/>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2">
    <w:name w:val="List Table 3 - Accent 42"/>
    <w:basedOn w:val="a2"/>
    <w:uiPriority w:val="99"/>
    <w:rsid w:val="00DE739F"/>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2">
    <w:name w:val="List Table 3 - Accent 52"/>
    <w:basedOn w:val="a2"/>
    <w:uiPriority w:val="99"/>
    <w:rsid w:val="00DE739F"/>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2">
    <w:name w:val="List Table 3 - Accent 62"/>
    <w:basedOn w:val="a2"/>
    <w:uiPriority w:val="99"/>
    <w:rsid w:val="00DE739F"/>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Accent12">
    <w:name w:val="List Table 4 - Accent 12"/>
    <w:basedOn w:val="a2"/>
    <w:uiPriority w:val="99"/>
    <w:rsid w:val="00DE739F"/>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2">
    <w:name w:val="List Table 4 - Accent 22"/>
    <w:basedOn w:val="a2"/>
    <w:uiPriority w:val="99"/>
    <w:rsid w:val="00DE739F"/>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2">
    <w:name w:val="List Table 4 - Accent 32"/>
    <w:basedOn w:val="a2"/>
    <w:uiPriority w:val="99"/>
    <w:rsid w:val="00DE739F"/>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2">
    <w:name w:val="List Table 4 - Accent 42"/>
    <w:basedOn w:val="a2"/>
    <w:uiPriority w:val="99"/>
    <w:rsid w:val="00DE739F"/>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2">
    <w:name w:val="List Table 4 - Accent 52"/>
    <w:basedOn w:val="a2"/>
    <w:uiPriority w:val="99"/>
    <w:rsid w:val="00DE739F"/>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2">
    <w:name w:val="List Table 4 - Accent 62"/>
    <w:basedOn w:val="a2"/>
    <w:uiPriority w:val="99"/>
    <w:rsid w:val="00DE739F"/>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customStyle="1" w:styleId="ListTable5Dark-Accent12">
    <w:name w:val="List Table 5 Dark - Accent 12"/>
    <w:basedOn w:val="a2"/>
    <w:uiPriority w:val="99"/>
    <w:rsid w:val="00DE739F"/>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2">
    <w:name w:val="List Table 5 Dark - Accent 22"/>
    <w:basedOn w:val="a2"/>
    <w:uiPriority w:val="99"/>
    <w:rsid w:val="00DE739F"/>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2">
    <w:name w:val="List Table 5 Dark - Accent 32"/>
    <w:basedOn w:val="a2"/>
    <w:uiPriority w:val="99"/>
    <w:rsid w:val="00DE739F"/>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2">
    <w:name w:val="List Table 5 Dark - Accent 42"/>
    <w:basedOn w:val="a2"/>
    <w:uiPriority w:val="99"/>
    <w:rsid w:val="00DE739F"/>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2">
    <w:name w:val="List Table 5 Dark - Accent 52"/>
    <w:basedOn w:val="a2"/>
    <w:uiPriority w:val="99"/>
    <w:rsid w:val="00DE739F"/>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2">
    <w:name w:val="List Table 5 Dark - Accent 62"/>
    <w:basedOn w:val="a2"/>
    <w:uiPriority w:val="99"/>
    <w:rsid w:val="00DE739F"/>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customStyle="1" w:styleId="ListTable6Colorful-Accent12">
    <w:name w:val="List Table 6 Colorful - Accent 12"/>
    <w:basedOn w:val="a2"/>
    <w:uiPriority w:val="99"/>
    <w:rsid w:val="00DE739F"/>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2">
    <w:name w:val="List Table 6 Colorful - Accent 22"/>
    <w:basedOn w:val="a2"/>
    <w:uiPriority w:val="99"/>
    <w:rsid w:val="00DE739F"/>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2">
    <w:name w:val="List Table 6 Colorful - Accent 32"/>
    <w:basedOn w:val="a2"/>
    <w:uiPriority w:val="99"/>
    <w:rsid w:val="00DE739F"/>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2">
    <w:name w:val="List Table 6 Colorful - Accent 42"/>
    <w:basedOn w:val="a2"/>
    <w:uiPriority w:val="99"/>
    <w:rsid w:val="00DE739F"/>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2">
    <w:name w:val="List Table 6 Colorful - Accent 52"/>
    <w:basedOn w:val="a2"/>
    <w:uiPriority w:val="99"/>
    <w:rsid w:val="00DE739F"/>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2">
    <w:name w:val="List Table 6 Colorful - Accent 62"/>
    <w:basedOn w:val="a2"/>
    <w:uiPriority w:val="99"/>
    <w:rsid w:val="00DE739F"/>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Accent12">
    <w:name w:val="List Table 7 Colorful - Accent 12"/>
    <w:basedOn w:val="a2"/>
    <w:uiPriority w:val="99"/>
    <w:rsid w:val="00DE739F"/>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2">
    <w:name w:val="List Table 7 Colorful - Accent 22"/>
    <w:basedOn w:val="a2"/>
    <w:uiPriority w:val="99"/>
    <w:rsid w:val="00DE739F"/>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2">
    <w:name w:val="List Table 7 Colorful - Accent 32"/>
    <w:basedOn w:val="a2"/>
    <w:uiPriority w:val="99"/>
    <w:rsid w:val="00DE739F"/>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2">
    <w:name w:val="List Table 7 Colorful - Accent 42"/>
    <w:basedOn w:val="a2"/>
    <w:uiPriority w:val="99"/>
    <w:rsid w:val="00DE739F"/>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2">
    <w:name w:val="List Table 7 Colorful - Accent 52"/>
    <w:basedOn w:val="a2"/>
    <w:uiPriority w:val="99"/>
    <w:rsid w:val="00DE739F"/>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2">
    <w:name w:val="List Table 7 Colorful - Accent 62"/>
    <w:basedOn w:val="a2"/>
    <w:uiPriority w:val="99"/>
    <w:rsid w:val="00DE739F"/>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589676">
      <w:bodyDiv w:val="1"/>
      <w:marLeft w:val="0"/>
      <w:marRight w:val="0"/>
      <w:marTop w:val="0"/>
      <w:marBottom w:val="0"/>
      <w:divBdr>
        <w:top w:val="none" w:sz="0" w:space="0" w:color="auto"/>
        <w:left w:val="none" w:sz="0" w:space="0" w:color="auto"/>
        <w:bottom w:val="none" w:sz="0" w:space="0" w:color="auto"/>
        <w:right w:val="none" w:sz="0" w:space="0" w:color="auto"/>
      </w:divBdr>
    </w:div>
    <w:div w:id="568346023">
      <w:bodyDiv w:val="1"/>
      <w:marLeft w:val="0"/>
      <w:marRight w:val="0"/>
      <w:marTop w:val="0"/>
      <w:marBottom w:val="0"/>
      <w:divBdr>
        <w:top w:val="none" w:sz="0" w:space="0" w:color="auto"/>
        <w:left w:val="none" w:sz="0" w:space="0" w:color="auto"/>
        <w:bottom w:val="none" w:sz="0" w:space="0" w:color="auto"/>
        <w:right w:val="none" w:sz="0" w:space="0" w:color="auto"/>
      </w:divBdr>
    </w:div>
    <w:div w:id="616719786">
      <w:bodyDiv w:val="1"/>
      <w:marLeft w:val="0"/>
      <w:marRight w:val="0"/>
      <w:marTop w:val="0"/>
      <w:marBottom w:val="0"/>
      <w:divBdr>
        <w:top w:val="none" w:sz="0" w:space="0" w:color="auto"/>
        <w:left w:val="none" w:sz="0" w:space="0" w:color="auto"/>
        <w:bottom w:val="none" w:sz="0" w:space="0" w:color="auto"/>
        <w:right w:val="none" w:sz="0" w:space="0" w:color="auto"/>
      </w:divBdr>
    </w:div>
    <w:div w:id="726807440">
      <w:bodyDiv w:val="1"/>
      <w:marLeft w:val="0"/>
      <w:marRight w:val="0"/>
      <w:marTop w:val="0"/>
      <w:marBottom w:val="0"/>
      <w:divBdr>
        <w:top w:val="none" w:sz="0" w:space="0" w:color="auto"/>
        <w:left w:val="none" w:sz="0" w:space="0" w:color="auto"/>
        <w:bottom w:val="none" w:sz="0" w:space="0" w:color="auto"/>
        <w:right w:val="none" w:sz="0" w:space="0" w:color="auto"/>
      </w:divBdr>
    </w:div>
    <w:div w:id="739212790">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19821619">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294402730">
      <w:bodyDiv w:val="1"/>
      <w:marLeft w:val="0"/>
      <w:marRight w:val="0"/>
      <w:marTop w:val="0"/>
      <w:marBottom w:val="0"/>
      <w:divBdr>
        <w:top w:val="none" w:sz="0" w:space="0" w:color="auto"/>
        <w:left w:val="none" w:sz="0" w:space="0" w:color="auto"/>
        <w:bottom w:val="none" w:sz="0" w:space="0" w:color="auto"/>
        <w:right w:val="none" w:sz="0" w:space="0" w:color="auto"/>
      </w:divBdr>
    </w:div>
    <w:div w:id="1348869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E2118B2C8BD042835FDB1EA49FF181" ma:contentTypeVersion="4" ma:contentTypeDescription="Create a new document." ma:contentTypeScope="" ma:versionID="1b5dcb2c5a040fe1a362b10118d173f4">
  <xsd:schema xmlns:xsd="http://www.w3.org/2001/XMLSchema" xmlns:xs="http://www.w3.org/2001/XMLSchema" xmlns:p="http://schemas.microsoft.com/office/2006/metadata/properties" xmlns:ns3="52491029-2c05-4f2a-9aee-1a1ec2ed109f" targetNamespace="http://schemas.microsoft.com/office/2006/metadata/properties" ma:root="true" ma:fieldsID="106b50fa74c652e0f4c4d375afafb10b" ns3:_="">
    <xsd:import namespace="52491029-2c05-4f2a-9aee-1a1ec2ed109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491029-2c05-4f2a-9aee-1a1ec2ed10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DE7323-074C-4EF0-AB32-7AE510367331}">
  <ds:schemaRefs>
    <ds:schemaRef ds:uri="http://schemas.openxmlformats.org/officeDocument/2006/bibliography"/>
  </ds:schemaRefs>
</ds:datastoreItem>
</file>

<file path=customXml/itemProps2.xml><?xml version="1.0" encoding="utf-8"?>
<ds:datastoreItem xmlns:ds="http://schemas.openxmlformats.org/officeDocument/2006/customXml" ds:itemID="{E1ECAD9E-65AE-41D1-9C58-F5EA010FADF2}">
  <ds:schemaRefs>
    <ds:schemaRef ds:uri="http://schemas.microsoft.com/sharepoint/v3/contenttype/forms"/>
  </ds:schemaRefs>
</ds:datastoreItem>
</file>

<file path=customXml/itemProps3.xml><?xml version="1.0" encoding="utf-8"?>
<ds:datastoreItem xmlns:ds="http://schemas.openxmlformats.org/officeDocument/2006/customXml" ds:itemID="{D8827442-0ACD-4570-AA2C-967E5766717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B950F60-9BC9-4DE3-9D85-DA18E2AFF9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491029-2c05-4f2a-9aee-1a1ec2ed10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1339</Words>
  <Characters>7634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OPPO</vt:lpstr>
    </vt:vector>
  </TitlesOfParts>
  <Company/>
  <LinksUpToDate>false</LinksUpToDate>
  <CharactersWithSpaces>8956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(Qianxi Lu)</cp:lastModifiedBy>
  <cp:revision>3</cp:revision>
  <dcterms:created xsi:type="dcterms:W3CDTF">2023-07-18T06:35:00Z</dcterms:created>
  <dcterms:modified xsi:type="dcterms:W3CDTF">2023-08-07T06:55:00Z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dc912a1fc4910ccdc7a4a40a1456ba25975e8efd69a1ddb135515136f63ec94e</vt:lpwstr>
  </property>
  <property fmtid="{D5CDD505-2E9C-101B-9397-08002B2CF9AE}" pid="3" name="ContentTypeId">
    <vt:lpwstr>0x01010087E2118B2C8BD042835FDB1EA49FF181</vt:lpwstr>
  </property>
  <property fmtid="{D5CDD505-2E9C-101B-9397-08002B2CF9AE}" pid="4" name="MSIP_Label_83bcef13-7cac-433f-ba1d-47a323951816_Enabled">
    <vt:lpwstr>true</vt:lpwstr>
  </property>
  <property fmtid="{D5CDD505-2E9C-101B-9397-08002B2CF9AE}" pid="5" name="MSIP_Label_83bcef13-7cac-433f-ba1d-47a323951816_SetDate">
    <vt:lpwstr>2023-06-30T02:23:37Z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265b276a-b756-454a-a6fc-9b1da84427cb</vt:lpwstr>
  </property>
  <property fmtid="{D5CDD505-2E9C-101B-9397-08002B2CF9AE}" pid="10" name="MSIP_Label_83bcef13-7cac-433f-ba1d-47a323951816_ContentBits">
    <vt:lpwstr>0</vt:lpwstr>
  </property>
</Properties>
</file>